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070D62BA" w:rsidR="00C869F3" w:rsidRDefault="00277052" w:rsidP="00C869F3">
      <w:pPr>
        <w:spacing w:after="480"/>
      </w:pPr>
      <w:r>
        <w:rPr>
          <w:noProof/>
        </w:rPr>
        <w:drawing>
          <wp:inline distT="0" distB="0" distL="0" distR="0" wp14:anchorId="279131EB" wp14:editId="0834CEA1">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01BF40A2" w:rsidR="00333FAA" w:rsidRPr="005E3A10" w:rsidRDefault="00093D8C" w:rsidP="00A53B04">
            <w:pPr>
              <w:rPr>
                <w:rFonts w:cs="Arial"/>
                <w:szCs w:val="24"/>
              </w:rPr>
            </w:pPr>
            <w:r>
              <w:rPr>
                <w:rFonts w:cs="Arial"/>
                <w:szCs w:val="24"/>
              </w:rPr>
              <w:t>14 March 2024</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571B4424" w14:textId="77777777" w:rsidR="00333FAA" w:rsidRDefault="00093D8C" w:rsidP="00A53B04">
            <w:pPr>
              <w:rPr>
                <w:rFonts w:cs="Arial"/>
                <w:szCs w:val="24"/>
              </w:rPr>
            </w:pPr>
            <w:r>
              <w:rPr>
                <w:rFonts w:cs="Arial"/>
                <w:szCs w:val="24"/>
              </w:rPr>
              <w:t>Harrow Indoor and Outdoor Sports Facilities Strategy, 202</w:t>
            </w:r>
            <w:r w:rsidR="00742D60">
              <w:rPr>
                <w:rFonts w:cs="Arial"/>
                <w:szCs w:val="24"/>
              </w:rPr>
              <w:t>4</w:t>
            </w:r>
            <w:r>
              <w:rPr>
                <w:rFonts w:cs="Arial"/>
                <w:szCs w:val="24"/>
              </w:rPr>
              <w:t>-2037</w:t>
            </w:r>
          </w:p>
          <w:p w14:paraId="6D8FB2C1" w14:textId="15E65481" w:rsidR="00F6659D" w:rsidRPr="005E3A10" w:rsidRDefault="00F6659D" w:rsidP="00A53B04">
            <w:pPr>
              <w:rPr>
                <w:rFonts w:cs="Arial"/>
                <w:szCs w:val="24"/>
              </w:rPr>
            </w:pP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3EADF2B3" w14:textId="3C1ED189" w:rsidR="00333FAA" w:rsidRPr="005E3A10" w:rsidRDefault="001C7E35" w:rsidP="00F6659D">
            <w:pPr>
              <w:pStyle w:val="Infotext"/>
              <w:rPr>
                <w:rFonts w:cs="Arial"/>
                <w:szCs w:val="24"/>
              </w:rPr>
            </w:pPr>
            <w:r w:rsidRPr="005E3A10">
              <w:rPr>
                <w:rFonts w:cs="Arial"/>
                <w:sz w:val="24"/>
                <w:szCs w:val="24"/>
              </w:rPr>
              <w:t>Yes</w:t>
            </w: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49EB528" w14:textId="7119D13D" w:rsidR="001C7E35" w:rsidRDefault="00DD4F17" w:rsidP="00D835CF">
            <w:pPr>
              <w:pStyle w:val="Infotext"/>
              <w:rPr>
                <w:rFonts w:cs="Arial"/>
                <w:sz w:val="24"/>
                <w:szCs w:val="24"/>
              </w:rPr>
            </w:pPr>
            <w:r>
              <w:rPr>
                <w:rFonts w:cs="Arial"/>
                <w:sz w:val="24"/>
                <w:szCs w:val="24"/>
              </w:rPr>
              <w:t>Dipti Patel, Corporate Director – Place</w:t>
            </w:r>
          </w:p>
          <w:p w14:paraId="3798BF23" w14:textId="77777777" w:rsidR="001C7E35" w:rsidRPr="005E3A10" w:rsidRDefault="001C7E35" w:rsidP="008D09C9">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506623FF" w14:textId="77777777" w:rsidR="000918B2" w:rsidRPr="006C190F" w:rsidRDefault="000918B2" w:rsidP="000918B2">
            <w:pPr>
              <w:rPr>
                <w:rFonts w:eastAsia="Calibri" w:cs="Arial"/>
                <w:color w:val="000000"/>
                <w:szCs w:val="24"/>
              </w:rPr>
            </w:pPr>
            <w:r w:rsidRPr="006C190F">
              <w:rPr>
                <w:rFonts w:eastAsia="Calibri" w:cs="Arial"/>
                <w:color w:val="000000"/>
                <w:szCs w:val="24"/>
              </w:rPr>
              <w:t>Councillor Jean Lammiman, Portfolio Holder for Community and Culture</w:t>
            </w:r>
          </w:p>
          <w:p w14:paraId="39A9A01A" w14:textId="785AD9E5" w:rsidR="001C7E35" w:rsidRPr="005E3A10" w:rsidRDefault="001C7E35" w:rsidP="00D835CF">
            <w:pPr>
              <w:pStyle w:val="Infotext"/>
              <w:rPr>
                <w:rFonts w:cs="Arial"/>
                <w:color w:val="FF0000"/>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0FA71763" w:rsidR="001C7E35" w:rsidRPr="005E3A10" w:rsidRDefault="001C7E35" w:rsidP="00D835CF">
            <w:pPr>
              <w:pStyle w:val="Infotext"/>
              <w:rPr>
                <w:rFonts w:cs="Arial"/>
                <w:sz w:val="24"/>
                <w:szCs w:val="24"/>
              </w:rPr>
            </w:pPr>
            <w:r w:rsidRPr="005E3A10">
              <w:rPr>
                <w:rFonts w:cs="Arial"/>
                <w:sz w:val="24"/>
                <w:szCs w:val="24"/>
              </w:rPr>
              <w:t>No</w:t>
            </w:r>
          </w:p>
          <w:p w14:paraId="755E47D1" w14:textId="10BA0E92" w:rsidR="001C7E35" w:rsidRPr="005E3A10" w:rsidRDefault="001C7E35" w:rsidP="000918B2">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4B40AAFF" w14:textId="4CCDB5FA" w:rsidR="001C7E35" w:rsidRPr="005E3A10" w:rsidRDefault="001C7E35" w:rsidP="00D835CF">
            <w:pPr>
              <w:pStyle w:val="Infotext"/>
              <w:rPr>
                <w:rFonts w:cs="Arial"/>
                <w:sz w:val="24"/>
                <w:szCs w:val="24"/>
              </w:rPr>
            </w:pPr>
            <w:r w:rsidRPr="005E3A10">
              <w:rPr>
                <w:rFonts w:cs="Arial"/>
                <w:sz w:val="24"/>
                <w:szCs w:val="24"/>
              </w:rPr>
              <w:t xml:space="preserve">Yes </w:t>
            </w:r>
          </w:p>
          <w:p w14:paraId="3A75E271" w14:textId="2FD1BDE5" w:rsidR="00714BEE" w:rsidRPr="005E3A10" w:rsidRDefault="00714BEE" w:rsidP="000918B2">
            <w:pPr>
              <w:rPr>
                <w:rFonts w:cs="Arial"/>
                <w:szCs w:val="24"/>
              </w:rPr>
            </w:pP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1988BED8" w:rsidR="00307F76" w:rsidRPr="00307F76" w:rsidRDefault="00013C95" w:rsidP="00D835CF">
            <w:pPr>
              <w:rPr>
                <w:rFonts w:cs="Arial"/>
                <w:b/>
                <w:color w:val="FF0000"/>
                <w:szCs w:val="24"/>
              </w:rPr>
            </w:pPr>
            <w:r>
              <w:rPr>
                <w:rFonts w:cs="Arial"/>
                <w:szCs w:val="24"/>
              </w:rPr>
              <w:t>All</w:t>
            </w: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182F5A35" w14:textId="77777777" w:rsidR="001C7E35" w:rsidRDefault="00013C95" w:rsidP="00DB6C3D">
            <w:pPr>
              <w:pStyle w:val="Infotext"/>
              <w:rPr>
                <w:rFonts w:cs="Arial"/>
                <w:sz w:val="24"/>
                <w:szCs w:val="24"/>
              </w:rPr>
            </w:pPr>
            <w:r>
              <w:rPr>
                <w:rFonts w:cs="Arial"/>
                <w:sz w:val="24"/>
                <w:szCs w:val="24"/>
              </w:rPr>
              <w:t xml:space="preserve">Appendix 1: Equalities </w:t>
            </w:r>
            <w:r w:rsidR="001E050E">
              <w:rPr>
                <w:rFonts w:cs="Arial"/>
                <w:sz w:val="24"/>
                <w:szCs w:val="24"/>
              </w:rPr>
              <w:t>Impact Assessment</w:t>
            </w:r>
          </w:p>
          <w:p w14:paraId="1ECD6580" w14:textId="77777777" w:rsidR="001E050E" w:rsidRDefault="001E050E" w:rsidP="00DB6C3D">
            <w:pPr>
              <w:pStyle w:val="Infotext"/>
              <w:rPr>
                <w:color w:val="FF0000"/>
                <w:sz w:val="24"/>
                <w:szCs w:val="24"/>
              </w:rPr>
            </w:pPr>
          </w:p>
          <w:p w14:paraId="6668D730" w14:textId="29A04E99" w:rsidR="001E050E" w:rsidRPr="001E050E" w:rsidRDefault="001E050E" w:rsidP="00DB6C3D">
            <w:pPr>
              <w:pStyle w:val="Infotext"/>
              <w:rPr>
                <w:sz w:val="24"/>
                <w:szCs w:val="24"/>
              </w:rPr>
            </w:pPr>
            <w:r>
              <w:rPr>
                <w:sz w:val="24"/>
                <w:szCs w:val="24"/>
              </w:rPr>
              <w:t xml:space="preserve">Appendix 2: </w:t>
            </w:r>
            <w:r w:rsidR="00F25429">
              <w:rPr>
                <w:sz w:val="24"/>
                <w:szCs w:val="24"/>
              </w:rPr>
              <w:t xml:space="preserve">Harrow Indoor and </w:t>
            </w:r>
            <w:r w:rsidR="00043A4E">
              <w:rPr>
                <w:sz w:val="24"/>
                <w:szCs w:val="24"/>
              </w:rPr>
              <w:t>Outdoor Sports Facilities Strategy, 202</w:t>
            </w:r>
            <w:r w:rsidR="00742D60">
              <w:rPr>
                <w:sz w:val="24"/>
                <w:szCs w:val="24"/>
              </w:rPr>
              <w:t>4</w:t>
            </w:r>
            <w:r w:rsidR="00043A4E">
              <w:rPr>
                <w:sz w:val="24"/>
                <w:szCs w:val="24"/>
              </w:rPr>
              <w:t>-2037</w:t>
            </w:r>
          </w:p>
        </w:tc>
      </w:tr>
    </w:tbl>
    <w:p w14:paraId="27C48D26" w14:textId="77777777" w:rsidR="00333FAA" w:rsidRDefault="00333FAA" w:rsidP="00C869F3">
      <w:pPr>
        <w:spacing w:after="480"/>
        <w:rPr>
          <w:rFonts w:cs="Arial"/>
        </w:rPr>
      </w:pPr>
    </w:p>
    <w:p w14:paraId="639A9E54" w14:textId="77777777" w:rsidR="001820A6" w:rsidRDefault="001820A6"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4F6F76A4" w14:textId="20026034" w:rsidR="001C7E35" w:rsidRPr="004E2921" w:rsidRDefault="004E2921" w:rsidP="00605A4C">
            <w:r w:rsidRPr="004E2921">
              <w:t xml:space="preserve">This </w:t>
            </w:r>
            <w:r>
              <w:t xml:space="preserve">report sets out the </w:t>
            </w:r>
            <w:r w:rsidR="00B25C82">
              <w:t>objectives, strategic recommendations, and action plan</w:t>
            </w:r>
            <w:r w:rsidR="00102119">
              <w:t xml:space="preserve"> detailed in the Harrow Indoor and Outdoor Sports Facilities Strategy, </w:t>
            </w:r>
            <w:r w:rsidR="004452C0">
              <w:t>202</w:t>
            </w:r>
            <w:r w:rsidR="00742D60">
              <w:t>4</w:t>
            </w:r>
            <w:r w:rsidR="004452C0">
              <w:t>-2037 and seeks approval for the Strategy and its implementation.</w:t>
            </w:r>
          </w:p>
          <w:p w14:paraId="02274D72" w14:textId="77777777" w:rsidR="001C7E35" w:rsidRPr="00605A4C" w:rsidRDefault="00605A4C" w:rsidP="00E13BEF">
            <w:pPr>
              <w:pStyle w:val="Heading3"/>
              <w:spacing w:before="240"/>
            </w:pPr>
            <w:r>
              <w:t>Recommen</w:t>
            </w:r>
            <w:r w:rsidR="001C7E35" w:rsidRPr="00605A4C">
              <w:t xml:space="preserve">dations: </w:t>
            </w:r>
          </w:p>
          <w:p w14:paraId="38D2B60D" w14:textId="77777777" w:rsidR="001C7E35" w:rsidRDefault="001C7E35" w:rsidP="00605A4C">
            <w:r>
              <w:t>Cabinet is requested to:</w:t>
            </w:r>
          </w:p>
          <w:p w14:paraId="7162D8A4" w14:textId="77777777" w:rsidR="000C51F2" w:rsidRDefault="000C51F2" w:rsidP="00605A4C"/>
          <w:p w14:paraId="318EE23C" w14:textId="10D40852" w:rsidR="000C51F2" w:rsidRDefault="00BE3717" w:rsidP="00B1396A">
            <w:pPr>
              <w:pStyle w:val="ListParagraph"/>
              <w:numPr>
                <w:ilvl w:val="0"/>
                <w:numId w:val="7"/>
              </w:numPr>
            </w:pPr>
            <w:r>
              <w:t xml:space="preserve">Approve the adoption of the Harrow Indoor and Outdoor Sports Facilities Strategy, </w:t>
            </w:r>
            <w:r w:rsidR="005E42BC">
              <w:t>202</w:t>
            </w:r>
            <w:r w:rsidR="00742D60">
              <w:t>4</w:t>
            </w:r>
            <w:r w:rsidR="005E42BC">
              <w:t xml:space="preserve">-2037, including the priority projects Action Plan outlined in </w:t>
            </w:r>
            <w:r w:rsidR="004D6D3D">
              <w:t xml:space="preserve">Section 4 of the Strategy and the </w:t>
            </w:r>
            <w:r w:rsidR="00931972">
              <w:t>longer-term</w:t>
            </w:r>
            <w:r w:rsidR="004D6D3D">
              <w:t xml:space="preserve"> projects detailed in Appendix </w:t>
            </w:r>
            <w:r w:rsidR="00F6659D">
              <w:t>2</w:t>
            </w:r>
            <w:r w:rsidR="004D6D3D">
              <w:t xml:space="preserve"> of the Strategy</w:t>
            </w:r>
            <w:r w:rsidR="00A44D85">
              <w:t>.</w:t>
            </w:r>
          </w:p>
          <w:p w14:paraId="38181080" w14:textId="77777777" w:rsidR="00E34C86" w:rsidRDefault="00E34C86" w:rsidP="00931972">
            <w:pPr>
              <w:tabs>
                <w:tab w:val="left" w:pos="1064"/>
              </w:tabs>
            </w:pPr>
          </w:p>
          <w:p w14:paraId="03F28890" w14:textId="22C4F96E" w:rsidR="00E34C86" w:rsidRDefault="00E34C86" w:rsidP="009401DB">
            <w:pPr>
              <w:pStyle w:val="ListParagraph"/>
              <w:numPr>
                <w:ilvl w:val="0"/>
                <w:numId w:val="7"/>
              </w:numPr>
            </w:pPr>
            <w:r>
              <w:t>D</w:t>
            </w:r>
            <w:r w:rsidR="00A90E5B">
              <w:t xml:space="preserve">elegate authority to the Corporate Director of Place, following consultation </w:t>
            </w:r>
            <w:r w:rsidR="00EB76C7">
              <w:t xml:space="preserve">with the Portfolio Holder for Community and Culture, to proceed with the </w:t>
            </w:r>
            <w:r w:rsidR="00022892">
              <w:t xml:space="preserve">implementation of the </w:t>
            </w:r>
            <w:r w:rsidR="00483169">
              <w:t>Action Plan provided by the Strategy and to take any action necessary.</w:t>
            </w:r>
          </w:p>
          <w:p w14:paraId="006032D0" w14:textId="77777777" w:rsidR="00D02CB7" w:rsidRDefault="00D02CB7" w:rsidP="00D02CB7">
            <w:pPr>
              <w:pStyle w:val="ListParagraph"/>
            </w:pPr>
          </w:p>
          <w:p w14:paraId="0EBC96FA" w14:textId="77777777" w:rsidR="00333FAA" w:rsidRDefault="00E13BEF" w:rsidP="00DB7980">
            <w:pPr>
              <w:pStyle w:val="Heading3"/>
              <w:ind w:left="0" w:firstLine="0"/>
              <w:jc w:val="left"/>
            </w:pPr>
            <w:r>
              <w:t xml:space="preserve">Reason:  </w:t>
            </w:r>
          </w:p>
          <w:p w14:paraId="2357D490" w14:textId="77777777" w:rsidR="00DB7980" w:rsidRDefault="00DB7980" w:rsidP="00DB7980"/>
          <w:p w14:paraId="313BC81E" w14:textId="2A73BD02" w:rsidR="00DB7980" w:rsidRPr="00DB7980" w:rsidRDefault="00DB7980" w:rsidP="00207AB4">
            <w:r>
              <w:t xml:space="preserve">The Harrow Indoor and Outdoor Sports Facilities Strategy, </w:t>
            </w:r>
            <w:r w:rsidR="00B12184">
              <w:t>202</w:t>
            </w:r>
            <w:r w:rsidR="00742D60">
              <w:t>4</w:t>
            </w:r>
            <w:r w:rsidR="00B12184">
              <w:t xml:space="preserve">-2037 will provide the strategic direction to improve Harrow’s sports infrastructure </w:t>
            </w:r>
            <w:r w:rsidR="006F6617">
              <w:t>and i</w:t>
            </w:r>
            <w:r w:rsidR="006A10B2">
              <w:t xml:space="preserve">nform future investment in facilities. </w:t>
            </w:r>
            <w:r w:rsidR="00365B5F" w:rsidRPr="00365B5F">
              <w:t xml:space="preserve">The Strategy will </w:t>
            </w:r>
            <w:r w:rsidR="009B4AA6">
              <w:t xml:space="preserve">help to </w:t>
            </w:r>
            <w:r w:rsidR="00127DFD" w:rsidRPr="00365B5F">
              <w:t>achieve improved health and wellbeing outcomes for Harrow</w:t>
            </w:r>
            <w:r w:rsidR="00207AB4">
              <w:t xml:space="preserve"> by </w:t>
            </w:r>
            <w:r w:rsidR="00365B5F" w:rsidRPr="00365B5F">
              <w:t>provid</w:t>
            </w:r>
            <w:r w:rsidR="00207AB4">
              <w:t>ing</w:t>
            </w:r>
            <w:r w:rsidR="00365B5F" w:rsidRPr="00365B5F">
              <w:t xml:space="preserve"> better access to </w:t>
            </w:r>
            <w:r w:rsidR="00DE02E2" w:rsidRPr="00365B5F">
              <w:t>sports facilities</w:t>
            </w:r>
            <w:r w:rsidR="00DE02E2">
              <w:t xml:space="preserve"> and</w:t>
            </w:r>
            <w:r w:rsidR="00365B5F" w:rsidRPr="00365B5F">
              <w:t xml:space="preserve"> increas</w:t>
            </w:r>
            <w:r w:rsidR="00207AB4">
              <w:t>ing</w:t>
            </w:r>
            <w:r w:rsidR="00365B5F" w:rsidRPr="00365B5F">
              <w:t xml:space="preserve"> </w:t>
            </w:r>
            <w:r w:rsidR="00207AB4">
              <w:t>residents</w:t>
            </w:r>
            <w:r w:rsidR="00207AB4" w:rsidRPr="00365B5F">
              <w:t>’</w:t>
            </w:r>
            <w:r w:rsidR="00365B5F" w:rsidRPr="00365B5F">
              <w:t xml:space="preserve"> participation in sport and physical </w:t>
            </w:r>
            <w:r w:rsidR="00DE02E2">
              <w:t>activity.</w:t>
            </w:r>
          </w:p>
        </w:tc>
      </w:tr>
    </w:tbl>
    <w:p w14:paraId="1ACEBEB7" w14:textId="77777777" w:rsidR="00D02CB7" w:rsidRDefault="00D02CB7" w:rsidP="00F06E4E">
      <w:pPr>
        <w:pStyle w:val="Heading2"/>
        <w:spacing w:before="480"/>
      </w:pPr>
    </w:p>
    <w:p w14:paraId="5FF438CE" w14:textId="77777777" w:rsidR="00D02CB7" w:rsidRDefault="00D02CB7" w:rsidP="00F06E4E">
      <w:pPr>
        <w:pStyle w:val="Heading2"/>
        <w:spacing w:before="480"/>
      </w:pPr>
    </w:p>
    <w:p w14:paraId="63581FA8" w14:textId="77777777" w:rsidR="00D02CB7" w:rsidRDefault="00D02CB7" w:rsidP="00F06E4E">
      <w:pPr>
        <w:pStyle w:val="Heading2"/>
        <w:spacing w:before="480"/>
      </w:pPr>
    </w:p>
    <w:p w14:paraId="4CEA4233" w14:textId="77777777" w:rsidR="00D02CB7" w:rsidRDefault="00D02CB7" w:rsidP="00F06E4E">
      <w:pPr>
        <w:pStyle w:val="Heading2"/>
        <w:spacing w:before="480"/>
      </w:pPr>
    </w:p>
    <w:p w14:paraId="134FA426" w14:textId="77777777" w:rsidR="00D02CB7" w:rsidRDefault="00D02CB7" w:rsidP="00F06E4E">
      <w:pPr>
        <w:pStyle w:val="Heading2"/>
        <w:spacing w:before="480"/>
      </w:pPr>
    </w:p>
    <w:p w14:paraId="7D6010D3" w14:textId="77777777" w:rsidR="00D02CB7" w:rsidRDefault="00D02CB7" w:rsidP="00F06E4E">
      <w:pPr>
        <w:pStyle w:val="Heading2"/>
        <w:spacing w:before="480"/>
      </w:pPr>
    </w:p>
    <w:p w14:paraId="660819D2" w14:textId="77777777" w:rsidR="00D02CB7" w:rsidRDefault="00D02CB7" w:rsidP="00F06E4E">
      <w:pPr>
        <w:pStyle w:val="Heading2"/>
        <w:spacing w:before="480"/>
      </w:pPr>
    </w:p>
    <w:p w14:paraId="0204F38A" w14:textId="69726E8E" w:rsidR="00333FAA" w:rsidRDefault="00333FAA" w:rsidP="00F06E4E">
      <w:pPr>
        <w:pStyle w:val="Heading2"/>
        <w:spacing w:before="480"/>
      </w:pPr>
      <w:r>
        <w:lastRenderedPageBreak/>
        <w:t>Section 2 – Report</w:t>
      </w:r>
    </w:p>
    <w:p w14:paraId="3788A3DB" w14:textId="77777777" w:rsidR="004B02E7" w:rsidRDefault="004B02E7" w:rsidP="00A1211C">
      <w:pPr>
        <w:rPr>
          <w:sz w:val="28"/>
        </w:rPr>
      </w:pPr>
    </w:p>
    <w:p w14:paraId="56027F46" w14:textId="06CAA0CA" w:rsidR="004B02E7" w:rsidRDefault="00F43635" w:rsidP="00B1396A">
      <w:pPr>
        <w:pStyle w:val="ListParagraph"/>
        <w:numPr>
          <w:ilvl w:val="0"/>
          <w:numId w:val="8"/>
        </w:numPr>
        <w:rPr>
          <w:b/>
          <w:bCs/>
          <w:sz w:val="28"/>
        </w:rPr>
      </w:pPr>
      <w:r>
        <w:rPr>
          <w:b/>
          <w:bCs/>
          <w:sz w:val="28"/>
        </w:rPr>
        <w:t>Introduction</w:t>
      </w:r>
    </w:p>
    <w:p w14:paraId="2852DBC7" w14:textId="77777777" w:rsidR="00F43635" w:rsidRDefault="00F43635" w:rsidP="00F43635">
      <w:pPr>
        <w:rPr>
          <w:b/>
          <w:bCs/>
          <w:sz w:val="28"/>
        </w:rPr>
      </w:pPr>
    </w:p>
    <w:p w14:paraId="36CB6BB0" w14:textId="7E196BD2" w:rsidR="00F43635" w:rsidRDefault="00FD33E9" w:rsidP="00F43635">
      <w:pPr>
        <w:rPr>
          <w:szCs w:val="24"/>
        </w:rPr>
      </w:pPr>
      <w:r>
        <w:rPr>
          <w:szCs w:val="24"/>
        </w:rPr>
        <w:t xml:space="preserve">1.1 </w:t>
      </w:r>
      <w:r w:rsidR="0022253F" w:rsidRPr="00CB4DBB">
        <w:rPr>
          <w:szCs w:val="24"/>
        </w:rPr>
        <w:t>The London Borough of Harrow has conducted a review of its indoor and outdoor sports facilities</w:t>
      </w:r>
      <w:r w:rsidR="00CB4DBB" w:rsidRPr="00CB4DBB">
        <w:rPr>
          <w:szCs w:val="24"/>
        </w:rPr>
        <w:t xml:space="preserve">, and </w:t>
      </w:r>
      <w:r w:rsidR="00CB4DBB">
        <w:rPr>
          <w:szCs w:val="24"/>
        </w:rPr>
        <w:t xml:space="preserve">an analysis of need in the borough in consultation </w:t>
      </w:r>
      <w:r w:rsidR="00F17587">
        <w:rPr>
          <w:szCs w:val="24"/>
        </w:rPr>
        <w:t>with local sports clubs and schools, Sport England, sports’ National Governing Bodies</w:t>
      </w:r>
      <w:r w:rsidR="002116AA">
        <w:rPr>
          <w:szCs w:val="24"/>
        </w:rPr>
        <w:t>, leisure operators, and facility managers. The 5 key objectives of the Strategy are outlined below</w:t>
      </w:r>
      <w:r w:rsidR="00D621D7">
        <w:rPr>
          <w:szCs w:val="24"/>
        </w:rPr>
        <w:t>:</w:t>
      </w:r>
    </w:p>
    <w:p w14:paraId="4CA504BD" w14:textId="77777777" w:rsidR="00D621D7" w:rsidRDefault="00D621D7" w:rsidP="00F43635">
      <w:pPr>
        <w:rPr>
          <w:szCs w:val="24"/>
        </w:rPr>
      </w:pPr>
    </w:p>
    <w:p w14:paraId="0A3B433F" w14:textId="27D140DE" w:rsidR="001E7ACB" w:rsidRPr="001E7ACB" w:rsidRDefault="001E7ACB" w:rsidP="00B1396A">
      <w:pPr>
        <w:numPr>
          <w:ilvl w:val="0"/>
          <w:numId w:val="9"/>
        </w:numPr>
        <w:suppressAutoHyphens/>
        <w:autoSpaceDN w:val="0"/>
        <w:spacing w:after="160" w:line="244" w:lineRule="auto"/>
        <w:contextualSpacing/>
        <w:rPr>
          <w:rFonts w:eastAsia="Calibri" w:cs="Arial"/>
          <w:szCs w:val="24"/>
        </w:rPr>
      </w:pPr>
      <w:r w:rsidRPr="001E7ACB">
        <w:rPr>
          <w:rFonts w:eastAsia="Calibri" w:cs="Arial"/>
          <w:szCs w:val="24"/>
        </w:rPr>
        <w:t xml:space="preserve">Improving health and well-being and reducing health inequalities by increasing participation in sport and physical activity in the borough ensuring facilities for indoor and outdoor sports are of the appropriate quality and are available and accessible. </w:t>
      </w:r>
    </w:p>
    <w:p w14:paraId="1E8F845B" w14:textId="77777777" w:rsidR="001E7ACB" w:rsidRPr="001E7ACB" w:rsidRDefault="001E7ACB" w:rsidP="00B1396A">
      <w:pPr>
        <w:numPr>
          <w:ilvl w:val="0"/>
          <w:numId w:val="9"/>
        </w:numPr>
        <w:suppressAutoHyphens/>
        <w:autoSpaceDN w:val="0"/>
        <w:spacing w:after="160" w:line="244" w:lineRule="auto"/>
        <w:contextualSpacing/>
        <w:rPr>
          <w:rFonts w:eastAsia="Calibri" w:cs="Arial"/>
          <w:szCs w:val="24"/>
        </w:rPr>
      </w:pPr>
      <w:r w:rsidRPr="001E7ACB">
        <w:rPr>
          <w:rFonts w:eastAsia="Calibri" w:cs="Arial"/>
          <w:szCs w:val="24"/>
        </w:rPr>
        <w:t xml:space="preserve">To provide an evidence base and clear priorities for improving present provision and supporting/providing justification for new provision to inform spatial planning policy, including the development of Harrow’s new Local Plan, and responses to future planning applications, capital investment plans and external funding bids for new and/or enhanced sports facilities. </w:t>
      </w:r>
    </w:p>
    <w:p w14:paraId="02D560F1" w14:textId="77777777" w:rsidR="001E7ACB" w:rsidRPr="001E7ACB" w:rsidRDefault="001E7ACB" w:rsidP="00B1396A">
      <w:pPr>
        <w:numPr>
          <w:ilvl w:val="0"/>
          <w:numId w:val="9"/>
        </w:numPr>
        <w:suppressAutoHyphens/>
        <w:autoSpaceDN w:val="0"/>
        <w:spacing w:after="160" w:line="244" w:lineRule="auto"/>
        <w:contextualSpacing/>
        <w:rPr>
          <w:rFonts w:eastAsia="Calibri" w:cs="Arial"/>
          <w:szCs w:val="24"/>
        </w:rPr>
      </w:pPr>
      <w:r w:rsidRPr="001E7ACB">
        <w:rPr>
          <w:rFonts w:eastAsia="Calibri" w:cs="Arial"/>
          <w:szCs w:val="24"/>
        </w:rPr>
        <w:t xml:space="preserve">To inform the most efficient management and maintenance of playing pitch provision. </w:t>
      </w:r>
    </w:p>
    <w:p w14:paraId="4EF4B4C6" w14:textId="77777777" w:rsidR="001E7ACB" w:rsidRPr="001E7ACB" w:rsidRDefault="001E7ACB" w:rsidP="00B1396A">
      <w:pPr>
        <w:numPr>
          <w:ilvl w:val="0"/>
          <w:numId w:val="9"/>
        </w:numPr>
        <w:suppressAutoHyphens/>
        <w:autoSpaceDN w:val="0"/>
        <w:spacing w:after="160" w:line="244" w:lineRule="auto"/>
        <w:contextualSpacing/>
        <w:rPr>
          <w:rFonts w:eastAsia="Calibri" w:cs="Arial"/>
          <w:szCs w:val="24"/>
        </w:rPr>
      </w:pPr>
      <w:r w:rsidRPr="001E7ACB">
        <w:rPr>
          <w:rFonts w:eastAsia="Calibri" w:cs="Arial"/>
          <w:szCs w:val="24"/>
        </w:rPr>
        <w:t>Development of an Action Plan and a list of key priorities which will help to meet any current deficiencies and provide for future demands.</w:t>
      </w:r>
    </w:p>
    <w:p w14:paraId="1CC7E4C1" w14:textId="77777777" w:rsidR="001E7ACB" w:rsidRPr="001E7ACB" w:rsidRDefault="001E7ACB" w:rsidP="00B1396A">
      <w:pPr>
        <w:numPr>
          <w:ilvl w:val="0"/>
          <w:numId w:val="9"/>
        </w:numPr>
        <w:suppressAutoHyphens/>
        <w:autoSpaceDN w:val="0"/>
        <w:spacing w:after="160" w:line="244" w:lineRule="auto"/>
        <w:contextualSpacing/>
        <w:rPr>
          <w:rFonts w:eastAsia="Calibri" w:cs="Arial"/>
          <w:szCs w:val="24"/>
        </w:rPr>
      </w:pPr>
      <w:r w:rsidRPr="001E7ACB">
        <w:rPr>
          <w:rFonts w:eastAsia="Calibri" w:cs="Arial"/>
          <w:szCs w:val="24"/>
        </w:rPr>
        <w:t>To identify potential alternatives to the supply of provision e.g., educational sites.</w:t>
      </w:r>
    </w:p>
    <w:p w14:paraId="147CF087" w14:textId="77777777" w:rsidR="00D621D7" w:rsidRPr="00CB4DBB" w:rsidRDefault="00D621D7" w:rsidP="00F43635">
      <w:pPr>
        <w:rPr>
          <w:szCs w:val="24"/>
        </w:rPr>
      </w:pPr>
    </w:p>
    <w:p w14:paraId="7B3A3F79" w14:textId="016D5E9F" w:rsidR="00F43635" w:rsidRPr="003E560F" w:rsidRDefault="00951A10" w:rsidP="00951A10">
      <w:pPr>
        <w:rPr>
          <w:szCs w:val="24"/>
        </w:rPr>
      </w:pPr>
      <w:r>
        <w:rPr>
          <w:szCs w:val="24"/>
        </w:rPr>
        <w:t xml:space="preserve">1.2 </w:t>
      </w:r>
      <w:r w:rsidR="00046590" w:rsidRPr="003E560F">
        <w:rPr>
          <w:szCs w:val="24"/>
        </w:rPr>
        <w:t xml:space="preserve">The new Strategy supports the Council’s </w:t>
      </w:r>
      <w:r w:rsidR="005A6867" w:rsidRPr="003E560F">
        <w:rPr>
          <w:szCs w:val="24"/>
        </w:rPr>
        <w:t>vision of ‘Restoring Pride in Harrow’ and the Corporate Priorities:</w:t>
      </w:r>
    </w:p>
    <w:p w14:paraId="534BEC7A" w14:textId="77777777" w:rsidR="005A6867" w:rsidRDefault="005A6867" w:rsidP="005A6867">
      <w:pPr>
        <w:rPr>
          <w:szCs w:val="24"/>
        </w:rPr>
      </w:pPr>
    </w:p>
    <w:p w14:paraId="5371145A" w14:textId="269D7067" w:rsidR="005A6867" w:rsidRDefault="002E3EF5" w:rsidP="00B1396A">
      <w:pPr>
        <w:pStyle w:val="ListParagraph"/>
        <w:numPr>
          <w:ilvl w:val="0"/>
          <w:numId w:val="10"/>
        </w:numPr>
        <w:rPr>
          <w:szCs w:val="24"/>
        </w:rPr>
      </w:pPr>
      <w:r>
        <w:rPr>
          <w:szCs w:val="24"/>
        </w:rPr>
        <w:t>A Council that puts residents first</w:t>
      </w:r>
    </w:p>
    <w:p w14:paraId="43411901" w14:textId="797DCDE1" w:rsidR="002E3EF5" w:rsidRDefault="002E3EF5" w:rsidP="00B1396A">
      <w:pPr>
        <w:pStyle w:val="ListParagraph"/>
        <w:numPr>
          <w:ilvl w:val="0"/>
          <w:numId w:val="10"/>
        </w:numPr>
        <w:rPr>
          <w:szCs w:val="24"/>
        </w:rPr>
      </w:pPr>
      <w:r>
        <w:rPr>
          <w:szCs w:val="24"/>
        </w:rPr>
        <w:t>A borough that is clean and safe</w:t>
      </w:r>
    </w:p>
    <w:p w14:paraId="22C5900A" w14:textId="67DD1613" w:rsidR="002E3EF5" w:rsidRDefault="002E3EF5" w:rsidP="00B1396A">
      <w:pPr>
        <w:pStyle w:val="ListParagraph"/>
        <w:numPr>
          <w:ilvl w:val="0"/>
          <w:numId w:val="10"/>
        </w:numPr>
        <w:rPr>
          <w:szCs w:val="24"/>
        </w:rPr>
      </w:pPr>
      <w:r>
        <w:rPr>
          <w:szCs w:val="24"/>
        </w:rPr>
        <w:t>A place where those in need are supported</w:t>
      </w:r>
    </w:p>
    <w:p w14:paraId="64ECE147" w14:textId="77777777" w:rsidR="00073D7B" w:rsidRDefault="00073D7B" w:rsidP="00073D7B">
      <w:pPr>
        <w:rPr>
          <w:szCs w:val="24"/>
        </w:rPr>
      </w:pPr>
    </w:p>
    <w:p w14:paraId="4946CACE" w14:textId="6BD86F06" w:rsidR="00073D7B" w:rsidRDefault="00073D7B" w:rsidP="00073D7B">
      <w:pPr>
        <w:rPr>
          <w:szCs w:val="24"/>
        </w:rPr>
      </w:pPr>
      <w:r>
        <w:rPr>
          <w:szCs w:val="24"/>
        </w:rPr>
        <w:t xml:space="preserve">The new facilities strategy </w:t>
      </w:r>
      <w:r w:rsidR="005619AA">
        <w:rPr>
          <w:szCs w:val="24"/>
        </w:rPr>
        <w:t xml:space="preserve">will provide the strategic direction to improve Harrow’s sports infrastructure </w:t>
      </w:r>
      <w:r w:rsidR="00103021">
        <w:rPr>
          <w:szCs w:val="24"/>
        </w:rPr>
        <w:t xml:space="preserve">to meet the needs of residents and assist in establishing how best to meet the current and </w:t>
      </w:r>
      <w:r w:rsidR="00BB0417">
        <w:rPr>
          <w:szCs w:val="24"/>
        </w:rPr>
        <w:t xml:space="preserve">future health and wellbeing needs of Harrow’s residents. This will help to ensure that Harrow is a place where residents </w:t>
      </w:r>
      <w:r w:rsidR="00B1396A">
        <w:rPr>
          <w:szCs w:val="24"/>
        </w:rPr>
        <w:t xml:space="preserve">want to spend their time. </w:t>
      </w:r>
    </w:p>
    <w:p w14:paraId="459EA840" w14:textId="77777777" w:rsidR="00B1396A" w:rsidRDefault="00B1396A" w:rsidP="00073D7B">
      <w:pPr>
        <w:rPr>
          <w:szCs w:val="24"/>
        </w:rPr>
      </w:pPr>
    </w:p>
    <w:p w14:paraId="6A215E54" w14:textId="5B1316CB" w:rsidR="00B1396A" w:rsidRPr="00B1396A" w:rsidRDefault="00B1396A" w:rsidP="00B1396A">
      <w:pPr>
        <w:pStyle w:val="ListParagraph"/>
        <w:numPr>
          <w:ilvl w:val="0"/>
          <w:numId w:val="8"/>
        </w:numPr>
        <w:rPr>
          <w:b/>
          <w:bCs/>
          <w:sz w:val="28"/>
          <w:szCs w:val="28"/>
        </w:rPr>
      </w:pPr>
      <w:r>
        <w:rPr>
          <w:b/>
          <w:bCs/>
          <w:sz w:val="28"/>
          <w:szCs w:val="28"/>
        </w:rPr>
        <w:t>Background</w:t>
      </w:r>
    </w:p>
    <w:p w14:paraId="4FE0359D" w14:textId="77777777" w:rsidR="00180426" w:rsidRDefault="00180426" w:rsidP="00A1211C">
      <w:pPr>
        <w:rPr>
          <w:szCs w:val="24"/>
        </w:rPr>
      </w:pPr>
    </w:p>
    <w:p w14:paraId="2BF99ED9" w14:textId="32D36802" w:rsidR="00C41155" w:rsidRPr="00D70951" w:rsidRDefault="003E560F" w:rsidP="00A1211C">
      <w:pPr>
        <w:rPr>
          <w:color w:val="FF0000"/>
          <w:szCs w:val="24"/>
        </w:rPr>
      </w:pPr>
      <w:r>
        <w:rPr>
          <w:szCs w:val="24"/>
        </w:rPr>
        <w:t xml:space="preserve">2.1 </w:t>
      </w:r>
      <w:r w:rsidR="00951A10">
        <w:rPr>
          <w:szCs w:val="24"/>
        </w:rPr>
        <w:t xml:space="preserve">The new </w:t>
      </w:r>
      <w:r w:rsidR="002A2F24">
        <w:rPr>
          <w:szCs w:val="24"/>
        </w:rPr>
        <w:t xml:space="preserve">Strategy has been produced in line with Sport England’s latest guidance and forms the updated </w:t>
      </w:r>
      <w:r w:rsidR="006772B8">
        <w:rPr>
          <w:szCs w:val="24"/>
        </w:rPr>
        <w:t xml:space="preserve">evidence base to </w:t>
      </w:r>
      <w:r w:rsidR="00935CB3">
        <w:rPr>
          <w:szCs w:val="24"/>
        </w:rPr>
        <w:t xml:space="preserve">Harrow’s previous Indoor Sports Facilities </w:t>
      </w:r>
      <w:r w:rsidR="0084309D">
        <w:rPr>
          <w:szCs w:val="24"/>
        </w:rPr>
        <w:t xml:space="preserve">Strategy 2018 and the Outdoor Sports Facilities Strategy 2012 </w:t>
      </w:r>
      <w:r w:rsidR="00E31FE3">
        <w:rPr>
          <w:szCs w:val="24"/>
        </w:rPr>
        <w:t xml:space="preserve">which are now out of date. </w:t>
      </w:r>
      <w:r w:rsidR="00E930BA">
        <w:rPr>
          <w:szCs w:val="24"/>
        </w:rPr>
        <w:t xml:space="preserve">Each authority in the country is encouraged to produce this evidence base to inform future decisions </w:t>
      </w:r>
      <w:r w:rsidR="00FF4B5E">
        <w:rPr>
          <w:szCs w:val="24"/>
        </w:rPr>
        <w:t>regarding the demand and supply of existing and new playing pitches and built facilities in a given area.</w:t>
      </w:r>
      <w:r w:rsidR="00D70951">
        <w:rPr>
          <w:szCs w:val="24"/>
        </w:rPr>
        <w:t xml:space="preserve"> </w:t>
      </w:r>
      <w:r w:rsidR="003D2C01">
        <w:rPr>
          <w:szCs w:val="24"/>
        </w:rPr>
        <w:t xml:space="preserve">A number of </w:t>
      </w:r>
      <w:r w:rsidR="00867522">
        <w:rPr>
          <w:szCs w:val="24"/>
        </w:rPr>
        <w:t>projects have been achieved since the previous strategies were developed:</w:t>
      </w:r>
    </w:p>
    <w:p w14:paraId="1B9E209A" w14:textId="0B726D69" w:rsidR="00D8750C" w:rsidRDefault="00104BA4" w:rsidP="009738AB">
      <w:pPr>
        <w:pStyle w:val="ListParagraph"/>
        <w:numPr>
          <w:ilvl w:val="0"/>
          <w:numId w:val="19"/>
        </w:numPr>
        <w:rPr>
          <w:szCs w:val="24"/>
        </w:rPr>
      </w:pPr>
      <w:r w:rsidRPr="00104BA4">
        <w:rPr>
          <w:szCs w:val="24"/>
        </w:rPr>
        <w:lastRenderedPageBreak/>
        <w:t xml:space="preserve">8 new fine turf cricket pitches </w:t>
      </w:r>
      <w:r>
        <w:rPr>
          <w:szCs w:val="24"/>
        </w:rPr>
        <w:t>in the area and one additional non-tu</w:t>
      </w:r>
      <w:r w:rsidR="006F4BEE">
        <w:rPr>
          <w:szCs w:val="24"/>
        </w:rPr>
        <w:t>rf pitch</w:t>
      </w:r>
    </w:p>
    <w:p w14:paraId="77352E14" w14:textId="47CC543C" w:rsidR="006F4BEE" w:rsidRDefault="006F4BEE" w:rsidP="009738AB">
      <w:pPr>
        <w:pStyle w:val="ListParagraph"/>
        <w:numPr>
          <w:ilvl w:val="0"/>
          <w:numId w:val="19"/>
        </w:numPr>
        <w:rPr>
          <w:szCs w:val="24"/>
        </w:rPr>
      </w:pPr>
      <w:r>
        <w:rPr>
          <w:szCs w:val="24"/>
        </w:rPr>
        <w:t xml:space="preserve">New full sized 3G artificial </w:t>
      </w:r>
      <w:r w:rsidR="00DF12F4">
        <w:rPr>
          <w:szCs w:val="24"/>
        </w:rPr>
        <w:t>turf pitches have been provided at Bannister Sports Centre</w:t>
      </w:r>
      <w:r w:rsidR="0037310B">
        <w:rPr>
          <w:szCs w:val="24"/>
        </w:rPr>
        <w:t xml:space="preserve"> (partially funded by a grant </w:t>
      </w:r>
      <w:r w:rsidR="001C4740">
        <w:rPr>
          <w:szCs w:val="24"/>
        </w:rPr>
        <w:t>award from</w:t>
      </w:r>
      <w:r w:rsidR="0037310B">
        <w:rPr>
          <w:szCs w:val="24"/>
        </w:rPr>
        <w:t xml:space="preserve"> the </w:t>
      </w:r>
      <w:r w:rsidR="00552A9E">
        <w:rPr>
          <w:szCs w:val="24"/>
        </w:rPr>
        <w:t xml:space="preserve">Premier League and </w:t>
      </w:r>
      <w:r w:rsidR="006648D5">
        <w:rPr>
          <w:szCs w:val="24"/>
        </w:rPr>
        <w:t>the FA Facilities Fund of £400k)</w:t>
      </w:r>
      <w:r w:rsidR="00DF12F4">
        <w:rPr>
          <w:szCs w:val="24"/>
        </w:rPr>
        <w:t>, The Hive</w:t>
      </w:r>
      <w:r w:rsidR="005A323A">
        <w:rPr>
          <w:szCs w:val="24"/>
        </w:rPr>
        <w:t xml:space="preserve"> London and the Tithe Farm Sports and Social Club, as well as </w:t>
      </w:r>
      <w:r w:rsidR="009A2362">
        <w:rPr>
          <w:szCs w:val="24"/>
        </w:rPr>
        <w:t>small-sided</w:t>
      </w:r>
      <w:r w:rsidR="005A323A">
        <w:rPr>
          <w:szCs w:val="24"/>
        </w:rPr>
        <w:t xml:space="preserve"> </w:t>
      </w:r>
      <w:r w:rsidR="009A2362">
        <w:rPr>
          <w:szCs w:val="24"/>
        </w:rPr>
        <w:t>provision at Harrow High School and Centenary Sixes</w:t>
      </w:r>
    </w:p>
    <w:p w14:paraId="7886FB60" w14:textId="14074F1E" w:rsidR="009A2362" w:rsidRDefault="009A2362" w:rsidP="009738AB">
      <w:pPr>
        <w:pStyle w:val="ListParagraph"/>
        <w:numPr>
          <w:ilvl w:val="0"/>
          <w:numId w:val="19"/>
        </w:numPr>
        <w:rPr>
          <w:szCs w:val="24"/>
        </w:rPr>
      </w:pPr>
      <w:r>
        <w:rPr>
          <w:szCs w:val="24"/>
        </w:rPr>
        <w:t>Improvements to natural turf pitches at Bannister Sports Centre and Headstone Manor Recreation Ground</w:t>
      </w:r>
    </w:p>
    <w:p w14:paraId="6CA136BF" w14:textId="605BC8EE" w:rsidR="009A2362" w:rsidRDefault="009A2362" w:rsidP="009738AB">
      <w:pPr>
        <w:pStyle w:val="ListParagraph"/>
        <w:numPr>
          <w:ilvl w:val="0"/>
          <w:numId w:val="19"/>
        </w:numPr>
        <w:rPr>
          <w:szCs w:val="24"/>
        </w:rPr>
      </w:pPr>
      <w:r>
        <w:rPr>
          <w:szCs w:val="24"/>
        </w:rPr>
        <w:t xml:space="preserve">New bike pump track </w:t>
      </w:r>
      <w:r w:rsidR="002D0B57">
        <w:rPr>
          <w:szCs w:val="24"/>
        </w:rPr>
        <w:t xml:space="preserve">at Kenton Recreation Ground </w:t>
      </w:r>
      <w:r>
        <w:rPr>
          <w:szCs w:val="24"/>
        </w:rPr>
        <w:t xml:space="preserve"> </w:t>
      </w:r>
    </w:p>
    <w:p w14:paraId="1F84B193" w14:textId="75139430" w:rsidR="00912957" w:rsidRPr="00104BA4" w:rsidRDefault="0081750C" w:rsidP="009738AB">
      <w:pPr>
        <w:pStyle w:val="ListParagraph"/>
        <w:numPr>
          <w:ilvl w:val="0"/>
          <w:numId w:val="19"/>
        </w:numPr>
        <w:rPr>
          <w:szCs w:val="24"/>
        </w:rPr>
      </w:pPr>
      <w:r>
        <w:rPr>
          <w:szCs w:val="24"/>
        </w:rPr>
        <w:t xml:space="preserve">Refurbishment of 25 tennis courts </w:t>
      </w:r>
      <w:r w:rsidR="00E02C40">
        <w:rPr>
          <w:szCs w:val="24"/>
        </w:rPr>
        <w:t>across 8 parks</w:t>
      </w:r>
      <w:r w:rsidR="00FE110B">
        <w:rPr>
          <w:szCs w:val="24"/>
        </w:rPr>
        <w:t xml:space="preserve">, and the introduction of an online booking system </w:t>
      </w:r>
      <w:r w:rsidR="009E3950">
        <w:rPr>
          <w:szCs w:val="24"/>
        </w:rPr>
        <w:t xml:space="preserve">across 36 tennis courts at 13 parks </w:t>
      </w:r>
      <w:r w:rsidR="00F91B49">
        <w:rPr>
          <w:szCs w:val="24"/>
        </w:rPr>
        <w:t>following the awar</w:t>
      </w:r>
      <w:r w:rsidR="00446057">
        <w:rPr>
          <w:szCs w:val="24"/>
        </w:rPr>
        <w:t>d of a grant from the Lawn Tennis Association (LTA) of £587k.</w:t>
      </w:r>
    </w:p>
    <w:p w14:paraId="3F2DE8D7" w14:textId="77777777" w:rsidR="009738AB" w:rsidRDefault="009738AB" w:rsidP="00425FC4">
      <w:pPr>
        <w:rPr>
          <w:szCs w:val="24"/>
        </w:rPr>
      </w:pPr>
    </w:p>
    <w:p w14:paraId="16B5F6E0" w14:textId="07E31248" w:rsidR="00425FC4" w:rsidRPr="00425FC4" w:rsidRDefault="008C4B9F" w:rsidP="00425FC4">
      <w:pPr>
        <w:rPr>
          <w:rFonts w:eastAsia="Calibri" w:cs="Arial"/>
          <w:szCs w:val="24"/>
        </w:rPr>
      </w:pPr>
      <w:r>
        <w:rPr>
          <w:szCs w:val="24"/>
        </w:rPr>
        <w:t xml:space="preserve">2.2 </w:t>
      </w:r>
      <w:r w:rsidR="00425FC4" w:rsidRPr="00425FC4">
        <w:rPr>
          <w:rFonts w:eastAsia="Calibri" w:cs="Arial"/>
          <w:szCs w:val="24"/>
        </w:rPr>
        <w:t xml:space="preserve">The Vision for the </w:t>
      </w:r>
      <w:r w:rsidR="00CE574B">
        <w:rPr>
          <w:rFonts w:eastAsia="Calibri" w:cs="Arial"/>
          <w:szCs w:val="24"/>
        </w:rPr>
        <w:t xml:space="preserve">new </w:t>
      </w:r>
      <w:r w:rsidR="00425FC4" w:rsidRPr="00425FC4">
        <w:rPr>
          <w:rFonts w:eastAsia="Calibri" w:cs="Arial"/>
          <w:szCs w:val="24"/>
        </w:rPr>
        <w:t xml:space="preserve">Harrow Indoor and Outdoor Sports Facilities Strategy </w:t>
      </w:r>
      <w:r w:rsidR="00162694">
        <w:rPr>
          <w:rFonts w:eastAsia="Calibri" w:cs="Arial"/>
          <w:szCs w:val="24"/>
        </w:rPr>
        <w:t xml:space="preserve">(IOSFS) </w:t>
      </w:r>
      <w:r w:rsidR="00425FC4" w:rsidRPr="00425FC4">
        <w:rPr>
          <w:rFonts w:eastAsia="Calibri" w:cs="Arial"/>
          <w:szCs w:val="24"/>
        </w:rPr>
        <w:t>is to ‘facilitate the creation of a sporting infrastructure across Harrow that provides residents of all ages, abilities, and backgrounds with the opportunity to be active and participate in indoor and outdoor sports and recreational activities.’</w:t>
      </w:r>
    </w:p>
    <w:p w14:paraId="3022B00E" w14:textId="5DCCB548" w:rsidR="00990D33" w:rsidRDefault="00990D33" w:rsidP="008C4B9F">
      <w:pPr>
        <w:rPr>
          <w:szCs w:val="24"/>
        </w:rPr>
      </w:pPr>
    </w:p>
    <w:p w14:paraId="3A195369" w14:textId="66473CDC" w:rsidR="0063457F" w:rsidRDefault="0063457F" w:rsidP="008C4B9F">
      <w:pPr>
        <w:rPr>
          <w:szCs w:val="24"/>
        </w:rPr>
      </w:pPr>
      <w:r>
        <w:rPr>
          <w:szCs w:val="24"/>
        </w:rPr>
        <w:t xml:space="preserve">Any projects </w:t>
      </w:r>
      <w:r w:rsidR="00441F9E">
        <w:rPr>
          <w:szCs w:val="24"/>
        </w:rPr>
        <w:t>taken forward or supported will be assessed against the Council’s Corporate Priorities as well as the 5 key objectives</w:t>
      </w:r>
      <w:r w:rsidR="00513C0D">
        <w:rPr>
          <w:szCs w:val="24"/>
        </w:rPr>
        <w:t xml:space="preserve"> as detailed in Section 1.1 of this report above</w:t>
      </w:r>
      <w:r w:rsidR="00441F9E">
        <w:rPr>
          <w:szCs w:val="24"/>
        </w:rPr>
        <w:t xml:space="preserve">. </w:t>
      </w:r>
    </w:p>
    <w:p w14:paraId="22FE9A3A" w14:textId="77777777" w:rsidR="005755A8" w:rsidRDefault="005755A8" w:rsidP="008C4B9F">
      <w:pPr>
        <w:rPr>
          <w:szCs w:val="24"/>
        </w:rPr>
      </w:pPr>
    </w:p>
    <w:p w14:paraId="6B0C9691" w14:textId="33F8329F" w:rsidR="006C0788" w:rsidRDefault="005755A8" w:rsidP="006C0788">
      <w:pPr>
        <w:rPr>
          <w:rFonts w:eastAsia="Calibri" w:cs="Arial"/>
          <w:szCs w:val="24"/>
        </w:rPr>
      </w:pPr>
      <w:r>
        <w:rPr>
          <w:szCs w:val="24"/>
        </w:rPr>
        <w:t xml:space="preserve">2.3 </w:t>
      </w:r>
      <w:r w:rsidR="006C0788" w:rsidRPr="006C0788">
        <w:rPr>
          <w:rFonts w:eastAsia="Calibri" w:cs="Arial"/>
          <w:szCs w:val="24"/>
        </w:rPr>
        <w:t>Information on the supply of facilities contained in the Strategy has been generated through standard facility audits. Information on the demand for facilities has been generated from surveys of current and potential users including local sports clubs as well as affiliation data provided by the relevant governing bodies of sport and facility booking records where available. To understand the current landscape of clubs in Harrow, the demand and issues facing each specific sport covered within the Strategy, data was collected from a survey which was distributed to the sports clubs in the borough – 60 individual sports clubs responded to the invitation to complete the survey, with these clubs being compiled of both indoor and outdoor sports. A summary of the results of the club survey is detailed on pages 13-17 of the Strategy. There was also engagement with schools that had sports facilities available for community use and those that have facilities that may have the potential for community use.</w:t>
      </w:r>
      <w:r w:rsidR="00AE5A3E">
        <w:rPr>
          <w:rFonts w:eastAsia="Calibri" w:cs="Arial"/>
          <w:szCs w:val="24"/>
        </w:rPr>
        <w:t xml:space="preserve"> </w:t>
      </w:r>
      <w:r w:rsidR="008F1455">
        <w:rPr>
          <w:rFonts w:eastAsia="Calibri" w:cs="Arial"/>
          <w:szCs w:val="24"/>
        </w:rPr>
        <w:t xml:space="preserve">The latest version of the Strategy which has been signed </w:t>
      </w:r>
      <w:r w:rsidR="00E00EAA">
        <w:rPr>
          <w:rFonts w:eastAsia="Calibri" w:cs="Arial"/>
          <w:szCs w:val="24"/>
        </w:rPr>
        <w:t>off by Sport England the relevant National Governing Bodies (NGBs)</w:t>
      </w:r>
      <w:r w:rsidR="000B6DE4">
        <w:rPr>
          <w:rFonts w:eastAsia="Calibri" w:cs="Arial"/>
          <w:szCs w:val="24"/>
        </w:rPr>
        <w:t xml:space="preserve"> was also circulated to those sports clubs that responded to the club survey </w:t>
      </w:r>
      <w:r w:rsidR="002D0CC9">
        <w:rPr>
          <w:rFonts w:eastAsia="Calibri" w:cs="Arial"/>
          <w:szCs w:val="24"/>
        </w:rPr>
        <w:t xml:space="preserve">and to the schools previously engaged </w:t>
      </w:r>
      <w:r w:rsidR="00E408D5">
        <w:rPr>
          <w:rFonts w:eastAsia="Calibri" w:cs="Arial"/>
          <w:szCs w:val="24"/>
        </w:rPr>
        <w:t>with seeking any further feedback.</w:t>
      </w:r>
      <w:r w:rsidR="002D0CC9">
        <w:rPr>
          <w:rFonts w:eastAsia="Calibri" w:cs="Arial"/>
          <w:szCs w:val="24"/>
        </w:rPr>
        <w:t xml:space="preserve"> </w:t>
      </w:r>
    </w:p>
    <w:p w14:paraId="3489F98D" w14:textId="77777777" w:rsidR="00363C61" w:rsidRDefault="00363C61" w:rsidP="006C0788">
      <w:pPr>
        <w:rPr>
          <w:rFonts w:eastAsia="Calibri" w:cs="Arial"/>
          <w:szCs w:val="24"/>
        </w:rPr>
      </w:pPr>
    </w:p>
    <w:p w14:paraId="52C99EB2" w14:textId="5FD37E21" w:rsidR="00363C61" w:rsidRDefault="00363C61" w:rsidP="006C0788">
      <w:pPr>
        <w:rPr>
          <w:rFonts w:eastAsia="Calibri" w:cs="Arial"/>
          <w:szCs w:val="24"/>
        </w:rPr>
      </w:pPr>
      <w:r>
        <w:rPr>
          <w:rFonts w:eastAsia="Calibri" w:cs="Arial"/>
          <w:szCs w:val="24"/>
        </w:rPr>
        <w:t xml:space="preserve">2.4 The study area covered the whole of </w:t>
      </w:r>
      <w:r w:rsidR="003B7F9B">
        <w:rPr>
          <w:rFonts w:eastAsia="Calibri" w:cs="Arial"/>
          <w:szCs w:val="24"/>
        </w:rPr>
        <w:t>Harrow,</w:t>
      </w:r>
      <w:r>
        <w:rPr>
          <w:rFonts w:eastAsia="Calibri" w:cs="Arial"/>
          <w:szCs w:val="24"/>
        </w:rPr>
        <w:t xml:space="preserve"> </w:t>
      </w:r>
      <w:r w:rsidR="00901067">
        <w:rPr>
          <w:rFonts w:eastAsia="Calibri" w:cs="Arial"/>
          <w:szCs w:val="24"/>
        </w:rPr>
        <w:t xml:space="preserve">but the </w:t>
      </w:r>
      <w:r w:rsidR="003B7F9B">
        <w:rPr>
          <w:rFonts w:eastAsia="Calibri" w:cs="Arial"/>
          <w:szCs w:val="24"/>
        </w:rPr>
        <w:t>cross-borough</w:t>
      </w:r>
      <w:r w:rsidR="00901067">
        <w:rPr>
          <w:rFonts w:eastAsia="Calibri" w:cs="Arial"/>
          <w:szCs w:val="24"/>
        </w:rPr>
        <w:t xml:space="preserve"> boundary use of facilities has also been taken into account when considering future </w:t>
      </w:r>
      <w:r w:rsidR="003A257A">
        <w:rPr>
          <w:rFonts w:eastAsia="Calibri" w:cs="Arial"/>
          <w:szCs w:val="24"/>
        </w:rPr>
        <w:t xml:space="preserve">needs for each particular sport in terms of facilities, but also community sporting needs for Harrow residents. </w:t>
      </w:r>
      <w:r w:rsidR="003B7F9B">
        <w:rPr>
          <w:rFonts w:eastAsia="Calibri" w:cs="Arial"/>
          <w:szCs w:val="24"/>
        </w:rPr>
        <w:t>Demographic information, health</w:t>
      </w:r>
      <w:r w:rsidR="00D9305C">
        <w:rPr>
          <w:rFonts w:eastAsia="Calibri" w:cs="Arial"/>
          <w:szCs w:val="24"/>
        </w:rPr>
        <w:t>, deprivation, and sports participation trends were also reviewed in the development of the Strategy</w:t>
      </w:r>
      <w:r w:rsidR="00D07BEB">
        <w:rPr>
          <w:rFonts w:eastAsia="Calibri" w:cs="Arial"/>
          <w:szCs w:val="24"/>
        </w:rPr>
        <w:t xml:space="preserve">. </w:t>
      </w:r>
      <w:r w:rsidR="00DF7E63">
        <w:rPr>
          <w:rFonts w:eastAsia="Calibri" w:cs="Arial"/>
          <w:color w:val="000000" w:themeColor="text1"/>
          <w:szCs w:val="24"/>
        </w:rPr>
        <w:t xml:space="preserve">The </w:t>
      </w:r>
      <w:r w:rsidR="00153392">
        <w:rPr>
          <w:rFonts w:eastAsia="Calibri" w:cs="Arial"/>
          <w:color w:val="000000" w:themeColor="text1"/>
          <w:szCs w:val="24"/>
        </w:rPr>
        <w:t xml:space="preserve">Census 2021 shows that Harrow’s population is significantly </w:t>
      </w:r>
      <w:r w:rsidR="00676870">
        <w:rPr>
          <w:rFonts w:eastAsia="Calibri" w:cs="Arial"/>
          <w:color w:val="000000" w:themeColor="text1"/>
          <w:szCs w:val="24"/>
        </w:rPr>
        <w:t>higher than the predicted figures at 261,300 people</w:t>
      </w:r>
      <w:r w:rsidR="00204577">
        <w:rPr>
          <w:rFonts w:eastAsia="Calibri" w:cs="Arial"/>
          <w:color w:val="000000" w:themeColor="text1"/>
          <w:szCs w:val="24"/>
        </w:rPr>
        <w:t xml:space="preserve">, an increase of 9.3% since the 2011 Census. </w:t>
      </w:r>
      <w:r w:rsidR="00264D58">
        <w:rPr>
          <w:rFonts w:eastAsia="Calibri" w:cs="Arial"/>
          <w:color w:val="000000" w:themeColor="text1"/>
          <w:szCs w:val="24"/>
        </w:rPr>
        <w:t xml:space="preserve">This increase of population indicates that the current provision of facilities for sport and physical activity </w:t>
      </w:r>
      <w:r w:rsidR="00615875">
        <w:rPr>
          <w:rFonts w:eastAsia="Calibri" w:cs="Arial"/>
          <w:color w:val="000000" w:themeColor="text1"/>
          <w:szCs w:val="24"/>
        </w:rPr>
        <w:t xml:space="preserve">in Harrow will be under pressure. </w:t>
      </w:r>
      <w:r w:rsidR="00A35F71">
        <w:rPr>
          <w:rFonts w:eastAsia="Calibri" w:cs="Arial"/>
          <w:color w:val="000000" w:themeColor="text1"/>
          <w:szCs w:val="24"/>
        </w:rPr>
        <w:t xml:space="preserve">Harrow performs well </w:t>
      </w:r>
      <w:r w:rsidR="00C721E7">
        <w:rPr>
          <w:rFonts w:eastAsia="Calibri" w:cs="Arial"/>
          <w:color w:val="000000" w:themeColor="text1"/>
          <w:szCs w:val="24"/>
        </w:rPr>
        <w:t xml:space="preserve">in comparison to the </w:t>
      </w:r>
      <w:r w:rsidR="00C721E7">
        <w:rPr>
          <w:rFonts w:eastAsia="Calibri" w:cs="Arial"/>
          <w:color w:val="000000" w:themeColor="text1"/>
          <w:szCs w:val="24"/>
        </w:rPr>
        <w:lastRenderedPageBreak/>
        <w:t xml:space="preserve">regional and national averages for ten out of eleven of the </w:t>
      </w:r>
      <w:r w:rsidR="00C71527">
        <w:rPr>
          <w:rFonts w:eastAsia="Calibri" w:cs="Arial"/>
          <w:color w:val="000000" w:themeColor="text1"/>
          <w:szCs w:val="24"/>
        </w:rPr>
        <w:t xml:space="preserve">Department of Health key </w:t>
      </w:r>
      <w:r w:rsidR="00DB6422">
        <w:rPr>
          <w:rFonts w:eastAsia="Calibri" w:cs="Arial"/>
          <w:color w:val="000000" w:themeColor="text1"/>
          <w:szCs w:val="24"/>
        </w:rPr>
        <w:t>health indicators</w:t>
      </w:r>
      <w:r w:rsidR="00591542">
        <w:rPr>
          <w:rFonts w:eastAsia="Calibri" w:cs="Arial"/>
          <w:color w:val="000000" w:themeColor="text1"/>
          <w:szCs w:val="24"/>
        </w:rPr>
        <w:t xml:space="preserve">, but the percentage of physically active adults is worse than the regional and </w:t>
      </w:r>
      <w:r w:rsidR="007034DC">
        <w:rPr>
          <w:rFonts w:eastAsia="Calibri" w:cs="Arial"/>
          <w:color w:val="000000" w:themeColor="text1"/>
          <w:szCs w:val="24"/>
        </w:rPr>
        <w:t>national</w:t>
      </w:r>
      <w:r w:rsidR="00591542">
        <w:rPr>
          <w:rFonts w:eastAsia="Calibri" w:cs="Arial"/>
          <w:color w:val="000000" w:themeColor="text1"/>
          <w:szCs w:val="24"/>
        </w:rPr>
        <w:t xml:space="preserve"> average.</w:t>
      </w:r>
      <w:r w:rsidR="00DB6422">
        <w:rPr>
          <w:rFonts w:eastAsia="Calibri" w:cs="Arial"/>
          <w:color w:val="000000" w:themeColor="text1"/>
          <w:szCs w:val="24"/>
        </w:rPr>
        <w:t xml:space="preserve"> </w:t>
      </w:r>
    </w:p>
    <w:p w14:paraId="1D4B9FC6" w14:textId="77777777" w:rsidR="00307C10" w:rsidRPr="006C0788" w:rsidRDefault="00307C10" w:rsidP="006C0788">
      <w:pPr>
        <w:rPr>
          <w:rFonts w:eastAsia="Calibri" w:cs="Arial"/>
          <w:szCs w:val="24"/>
        </w:rPr>
      </w:pPr>
    </w:p>
    <w:p w14:paraId="5CF9282B" w14:textId="334CCA8A" w:rsidR="006C0788" w:rsidRDefault="00307C10" w:rsidP="006C0788">
      <w:pPr>
        <w:suppressAutoHyphens/>
        <w:autoSpaceDN w:val="0"/>
        <w:spacing w:after="160" w:line="244" w:lineRule="auto"/>
        <w:rPr>
          <w:rFonts w:eastAsia="Calibri" w:cs="Arial"/>
          <w:szCs w:val="24"/>
        </w:rPr>
      </w:pPr>
      <w:r>
        <w:rPr>
          <w:rFonts w:eastAsia="Calibri" w:cs="Arial"/>
          <w:szCs w:val="24"/>
        </w:rPr>
        <w:t>2.</w:t>
      </w:r>
      <w:r w:rsidR="00363C61">
        <w:rPr>
          <w:rFonts w:eastAsia="Calibri" w:cs="Arial"/>
          <w:szCs w:val="24"/>
        </w:rPr>
        <w:t>5</w:t>
      </w:r>
      <w:r>
        <w:rPr>
          <w:rFonts w:eastAsia="Calibri" w:cs="Arial"/>
          <w:szCs w:val="24"/>
        </w:rPr>
        <w:t xml:space="preserve"> </w:t>
      </w:r>
      <w:r w:rsidR="006C0788" w:rsidRPr="006C0788">
        <w:rPr>
          <w:rFonts w:eastAsia="Calibri" w:cs="Arial"/>
          <w:szCs w:val="24"/>
        </w:rPr>
        <w:t>The development of the Strategy has been managed by the IOSFS Steering Group which included a representative from Sport England, NGBs for key sports, and representatives from the Council’s Culture and Leisure Department, Parks, Planning, and Public Health.</w:t>
      </w:r>
    </w:p>
    <w:p w14:paraId="1EE540FF" w14:textId="1366639C" w:rsidR="00481639" w:rsidRPr="006C0788" w:rsidRDefault="00481639" w:rsidP="006C0788">
      <w:pPr>
        <w:suppressAutoHyphens/>
        <w:autoSpaceDN w:val="0"/>
        <w:spacing w:after="160" w:line="244" w:lineRule="auto"/>
        <w:rPr>
          <w:rFonts w:eastAsia="Calibri" w:cs="Arial"/>
          <w:szCs w:val="24"/>
        </w:rPr>
      </w:pPr>
      <w:r>
        <w:rPr>
          <w:rFonts w:eastAsia="Calibri" w:cs="Arial"/>
          <w:szCs w:val="24"/>
        </w:rPr>
        <w:t xml:space="preserve">2.5 </w:t>
      </w:r>
      <w:r w:rsidR="00A97C69">
        <w:rPr>
          <w:rFonts w:eastAsia="Calibri" w:cs="Arial"/>
          <w:szCs w:val="24"/>
        </w:rPr>
        <w:t xml:space="preserve">The following </w:t>
      </w:r>
      <w:r w:rsidR="00CC6A13">
        <w:rPr>
          <w:rFonts w:eastAsia="Calibri" w:cs="Arial"/>
          <w:szCs w:val="24"/>
        </w:rPr>
        <w:t>indoor and outdoor sports facility types were included in the assessment:</w:t>
      </w:r>
    </w:p>
    <w:p w14:paraId="77CAD9D8" w14:textId="783D14EE" w:rsidR="005755A8" w:rsidRPr="00CF3FA4" w:rsidRDefault="00CC6A13" w:rsidP="00CC6A13">
      <w:pPr>
        <w:pStyle w:val="ListParagraph"/>
        <w:numPr>
          <w:ilvl w:val="0"/>
          <w:numId w:val="12"/>
        </w:numPr>
        <w:rPr>
          <w:i/>
          <w:iCs/>
          <w:szCs w:val="24"/>
        </w:rPr>
      </w:pPr>
      <w:r w:rsidRPr="00CF3FA4">
        <w:rPr>
          <w:i/>
          <w:iCs/>
          <w:szCs w:val="24"/>
        </w:rPr>
        <w:t>Indoor</w:t>
      </w:r>
    </w:p>
    <w:p w14:paraId="21DF94E3" w14:textId="64EEED96" w:rsidR="00CC6A13" w:rsidRDefault="00CF3FA4" w:rsidP="00CC6A13">
      <w:pPr>
        <w:pStyle w:val="ListParagraph"/>
        <w:numPr>
          <w:ilvl w:val="0"/>
          <w:numId w:val="13"/>
        </w:numPr>
        <w:rPr>
          <w:szCs w:val="24"/>
        </w:rPr>
      </w:pPr>
      <w:r>
        <w:rPr>
          <w:szCs w:val="24"/>
        </w:rPr>
        <w:t>Swimming Pools</w:t>
      </w:r>
    </w:p>
    <w:p w14:paraId="005950F8" w14:textId="307FAC2B" w:rsidR="00CF3FA4" w:rsidRDefault="00CF3FA4" w:rsidP="00CC6A13">
      <w:pPr>
        <w:pStyle w:val="ListParagraph"/>
        <w:numPr>
          <w:ilvl w:val="0"/>
          <w:numId w:val="13"/>
        </w:numPr>
        <w:rPr>
          <w:szCs w:val="24"/>
        </w:rPr>
      </w:pPr>
      <w:r>
        <w:rPr>
          <w:szCs w:val="24"/>
        </w:rPr>
        <w:t>Sports Halls</w:t>
      </w:r>
    </w:p>
    <w:p w14:paraId="756C0ED8" w14:textId="33F402DC" w:rsidR="00CF3FA4" w:rsidRDefault="009423FB" w:rsidP="00CC6A13">
      <w:pPr>
        <w:pStyle w:val="ListParagraph"/>
        <w:numPr>
          <w:ilvl w:val="0"/>
          <w:numId w:val="13"/>
        </w:numPr>
        <w:rPr>
          <w:szCs w:val="24"/>
        </w:rPr>
      </w:pPr>
      <w:r>
        <w:rPr>
          <w:szCs w:val="24"/>
        </w:rPr>
        <w:t>Health and Fitness Suites</w:t>
      </w:r>
    </w:p>
    <w:p w14:paraId="340A3EDA" w14:textId="247A06FC" w:rsidR="009423FB" w:rsidRDefault="009423FB" w:rsidP="00CC6A13">
      <w:pPr>
        <w:pStyle w:val="ListParagraph"/>
        <w:numPr>
          <w:ilvl w:val="0"/>
          <w:numId w:val="13"/>
        </w:numPr>
        <w:rPr>
          <w:szCs w:val="24"/>
        </w:rPr>
      </w:pPr>
      <w:r>
        <w:rPr>
          <w:szCs w:val="24"/>
        </w:rPr>
        <w:t>Squash Courts</w:t>
      </w:r>
    </w:p>
    <w:p w14:paraId="31464674" w14:textId="0A0E5C4A" w:rsidR="009423FB" w:rsidRDefault="009423FB" w:rsidP="00CC6A13">
      <w:pPr>
        <w:pStyle w:val="ListParagraph"/>
        <w:numPr>
          <w:ilvl w:val="0"/>
          <w:numId w:val="13"/>
        </w:numPr>
        <w:rPr>
          <w:szCs w:val="24"/>
        </w:rPr>
      </w:pPr>
      <w:r>
        <w:rPr>
          <w:szCs w:val="24"/>
        </w:rPr>
        <w:t>Indoor Tennis Centres</w:t>
      </w:r>
    </w:p>
    <w:p w14:paraId="1F154BC7" w14:textId="5B0EA04E" w:rsidR="009423FB" w:rsidRDefault="009423FB" w:rsidP="00CC6A13">
      <w:pPr>
        <w:pStyle w:val="ListParagraph"/>
        <w:numPr>
          <w:ilvl w:val="0"/>
          <w:numId w:val="13"/>
        </w:numPr>
        <w:rPr>
          <w:szCs w:val="24"/>
        </w:rPr>
      </w:pPr>
      <w:r>
        <w:rPr>
          <w:szCs w:val="24"/>
        </w:rPr>
        <w:t>Climbing Walls/Centres</w:t>
      </w:r>
    </w:p>
    <w:p w14:paraId="1DA46C23" w14:textId="1F2CDD58" w:rsidR="009423FB" w:rsidRDefault="00016035" w:rsidP="00CC6A13">
      <w:pPr>
        <w:pStyle w:val="ListParagraph"/>
        <w:numPr>
          <w:ilvl w:val="0"/>
          <w:numId w:val="13"/>
        </w:numPr>
        <w:rPr>
          <w:szCs w:val="24"/>
        </w:rPr>
      </w:pPr>
      <w:r>
        <w:rPr>
          <w:szCs w:val="24"/>
        </w:rPr>
        <w:t>Gymnastic Centres</w:t>
      </w:r>
    </w:p>
    <w:p w14:paraId="4799E316" w14:textId="3ABD953C" w:rsidR="00016035" w:rsidRDefault="00016035" w:rsidP="00CC6A13">
      <w:pPr>
        <w:pStyle w:val="ListParagraph"/>
        <w:numPr>
          <w:ilvl w:val="0"/>
          <w:numId w:val="13"/>
        </w:numPr>
        <w:rPr>
          <w:szCs w:val="24"/>
        </w:rPr>
      </w:pPr>
      <w:r>
        <w:rPr>
          <w:szCs w:val="24"/>
        </w:rPr>
        <w:t>Indoor Bowls</w:t>
      </w:r>
    </w:p>
    <w:p w14:paraId="6DAEBB5B" w14:textId="77777777" w:rsidR="00016035" w:rsidRDefault="00016035" w:rsidP="00016035">
      <w:pPr>
        <w:rPr>
          <w:szCs w:val="24"/>
        </w:rPr>
      </w:pPr>
    </w:p>
    <w:p w14:paraId="717ECADA" w14:textId="7BF39B9F" w:rsidR="00016035" w:rsidRPr="00016035" w:rsidRDefault="00016035" w:rsidP="00016035">
      <w:pPr>
        <w:pStyle w:val="ListParagraph"/>
        <w:numPr>
          <w:ilvl w:val="0"/>
          <w:numId w:val="12"/>
        </w:numPr>
        <w:rPr>
          <w:i/>
          <w:iCs/>
          <w:szCs w:val="24"/>
        </w:rPr>
      </w:pPr>
      <w:r w:rsidRPr="00016035">
        <w:rPr>
          <w:i/>
          <w:iCs/>
          <w:szCs w:val="24"/>
        </w:rPr>
        <w:t xml:space="preserve">Outdoor </w:t>
      </w:r>
    </w:p>
    <w:p w14:paraId="13A6E953" w14:textId="2503C95E" w:rsidR="00D8750C" w:rsidRDefault="00E160FF" w:rsidP="00E160FF">
      <w:pPr>
        <w:pStyle w:val="ListParagraph"/>
        <w:numPr>
          <w:ilvl w:val="0"/>
          <w:numId w:val="14"/>
        </w:numPr>
        <w:rPr>
          <w:szCs w:val="24"/>
        </w:rPr>
      </w:pPr>
      <w:r w:rsidRPr="00E160FF">
        <w:rPr>
          <w:szCs w:val="24"/>
        </w:rPr>
        <w:t>Athleti</w:t>
      </w:r>
      <w:r>
        <w:rPr>
          <w:szCs w:val="24"/>
        </w:rPr>
        <w:t>cs Tracks</w:t>
      </w:r>
    </w:p>
    <w:p w14:paraId="452F86F4" w14:textId="14B6790C" w:rsidR="00E160FF" w:rsidRDefault="00974CA3" w:rsidP="00E160FF">
      <w:pPr>
        <w:pStyle w:val="ListParagraph"/>
        <w:numPr>
          <w:ilvl w:val="0"/>
          <w:numId w:val="14"/>
        </w:numPr>
        <w:rPr>
          <w:szCs w:val="24"/>
        </w:rPr>
      </w:pPr>
      <w:r>
        <w:rPr>
          <w:szCs w:val="24"/>
        </w:rPr>
        <w:t>Artificial Grass Pitches (AGPs)</w:t>
      </w:r>
    </w:p>
    <w:p w14:paraId="571EB056" w14:textId="724D5FA4" w:rsidR="00974CA3" w:rsidRDefault="00974CA3" w:rsidP="00E160FF">
      <w:pPr>
        <w:pStyle w:val="ListParagraph"/>
        <w:numPr>
          <w:ilvl w:val="0"/>
          <w:numId w:val="14"/>
        </w:numPr>
        <w:rPr>
          <w:szCs w:val="24"/>
        </w:rPr>
      </w:pPr>
      <w:r>
        <w:rPr>
          <w:szCs w:val="24"/>
        </w:rPr>
        <w:t>Cricket pitches and outdoor nets</w:t>
      </w:r>
    </w:p>
    <w:p w14:paraId="49C81F53" w14:textId="3ABBD554" w:rsidR="00974CA3" w:rsidRDefault="00974CA3" w:rsidP="00E160FF">
      <w:pPr>
        <w:pStyle w:val="ListParagraph"/>
        <w:numPr>
          <w:ilvl w:val="0"/>
          <w:numId w:val="14"/>
        </w:numPr>
        <w:rPr>
          <w:szCs w:val="24"/>
        </w:rPr>
      </w:pPr>
      <w:r>
        <w:rPr>
          <w:szCs w:val="24"/>
        </w:rPr>
        <w:t xml:space="preserve">Outdoor </w:t>
      </w:r>
      <w:r w:rsidR="00E463A3">
        <w:rPr>
          <w:szCs w:val="24"/>
        </w:rPr>
        <w:t>playing pitches</w:t>
      </w:r>
    </w:p>
    <w:p w14:paraId="70822CE8" w14:textId="3A733685" w:rsidR="00E463A3" w:rsidRDefault="00E463A3" w:rsidP="00E160FF">
      <w:pPr>
        <w:pStyle w:val="ListParagraph"/>
        <w:numPr>
          <w:ilvl w:val="0"/>
          <w:numId w:val="14"/>
        </w:numPr>
        <w:rPr>
          <w:szCs w:val="24"/>
        </w:rPr>
      </w:pPr>
      <w:r>
        <w:rPr>
          <w:szCs w:val="24"/>
        </w:rPr>
        <w:t>Bowls greens and Petanque</w:t>
      </w:r>
    </w:p>
    <w:p w14:paraId="0E7AFB2D" w14:textId="6C663969" w:rsidR="00E463A3" w:rsidRDefault="00E463A3" w:rsidP="00E160FF">
      <w:pPr>
        <w:pStyle w:val="ListParagraph"/>
        <w:numPr>
          <w:ilvl w:val="0"/>
          <w:numId w:val="14"/>
        </w:numPr>
        <w:rPr>
          <w:szCs w:val="24"/>
        </w:rPr>
      </w:pPr>
      <w:r>
        <w:rPr>
          <w:szCs w:val="24"/>
        </w:rPr>
        <w:t>Tennis and Netball Courts</w:t>
      </w:r>
    </w:p>
    <w:p w14:paraId="4FAB4477" w14:textId="23C79822" w:rsidR="00E463A3" w:rsidRDefault="00E463A3" w:rsidP="00E160FF">
      <w:pPr>
        <w:pStyle w:val="ListParagraph"/>
        <w:numPr>
          <w:ilvl w:val="0"/>
          <w:numId w:val="14"/>
        </w:numPr>
        <w:rPr>
          <w:szCs w:val="24"/>
        </w:rPr>
      </w:pPr>
      <w:r>
        <w:rPr>
          <w:szCs w:val="24"/>
        </w:rPr>
        <w:t>U</w:t>
      </w:r>
      <w:r w:rsidR="00C91FE2">
        <w:rPr>
          <w:szCs w:val="24"/>
        </w:rPr>
        <w:t>rban/Extreme sports</w:t>
      </w:r>
      <w:r w:rsidR="00A1278E">
        <w:rPr>
          <w:szCs w:val="24"/>
        </w:rPr>
        <w:t xml:space="preserve"> (i.e., BMX facilities)</w:t>
      </w:r>
    </w:p>
    <w:p w14:paraId="57D602E2" w14:textId="4ED7EE32" w:rsidR="00C91FE2" w:rsidRDefault="00C91FE2" w:rsidP="00E160FF">
      <w:pPr>
        <w:pStyle w:val="ListParagraph"/>
        <w:numPr>
          <w:ilvl w:val="0"/>
          <w:numId w:val="14"/>
        </w:numPr>
        <w:rPr>
          <w:szCs w:val="24"/>
        </w:rPr>
      </w:pPr>
      <w:r>
        <w:rPr>
          <w:szCs w:val="24"/>
        </w:rPr>
        <w:t xml:space="preserve">Multi-Use Games Areas (MUGAs) and informal facilities </w:t>
      </w:r>
      <w:r w:rsidR="00A1278E">
        <w:rPr>
          <w:szCs w:val="24"/>
        </w:rPr>
        <w:t>i.e.,</w:t>
      </w:r>
      <w:r w:rsidR="00222E9B">
        <w:rPr>
          <w:szCs w:val="24"/>
        </w:rPr>
        <w:t xml:space="preserve"> outdoor gym equipment</w:t>
      </w:r>
    </w:p>
    <w:p w14:paraId="0D83FF73" w14:textId="77777777" w:rsidR="00D951CF" w:rsidRDefault="00D951CF" w:rsidP="00D951CF">
      <w:pPr>
        <w:rPr>
          <w:szCs w:val="24"/>
        </w:rPr>
      </w:pPr>
    </w:p>
    <w:p w14:paraId="4C72D61F" w14:textId="3587ECA7" w:rsidR="00E160FF" w:rsidRPr="00412008" w:rsidRDefault="00412008" w:rsidP="00412008">
      <w:pPr>
        <w:pStyle w:val="ListParagraph"/>
        <w:numPr>
          <w:ilvl w:val="0"/>
          <w:numId w:val="8"/>
        </w:numPr>
        <w:rPr>
          <w:b/>
          <w:bCs/>
          <w:sz w:val="28"/>
        </w:rPr>
      </w:pPr>
      <w:r>
        <w:rPr>
          <w:b/>
          <w:bCs/>
          <w:sz w:val="28"/>
        </w:rPr>
        <w:t>Current Situation</w:t>
      </w:r>
    </w:p>
    <w:p w14:paraId="02E38F4F" w14:textId="77777777" w:rsidR="00E160FF" w:rsidRDefault="00E160FF" w:rsidP="00A1211C">
      <w:pPr>
        <w:rPr>
          <w:sz w:val="28"/>
        </w:rPr>
      </w:pPr>
    </w:p>
    <w:p w14:paraId="0E336F1E" w14:textId="5CE08FF5" w:rsidR="00CD7F4A" w:rsidRPr="00CD7F4A" w:rsidRDefault="00CD7F4A" w:rsidP="00A1211C">
      <w:pPr>
        <w:rPr>
          <w:rFonts w:cs="Arial"/>
          <w:szCs w:val="24"/>
        </w:rPr>
      </w:pPr>
      <w:r>
        <w:rPr>
          <w:rFonts w:cs="Arial"/>
          <w:szCs w:val="24"/>
        </w:rPr>
        <w:t xml:space="preserve">3.1 Key findings </w:t>
      </w:r>
      <w:r w:rsidR="00EC384B">
        <w:rPr>
          <w:rFonts w:cs="Arial"/>
          <w:szCs w:val="24"/>
        </w:rPr>
        <w:t xml:space="preserve">of the Assessment of Need studies for the </w:t>
      </w:r>
      <w:r w:rsidR="00964314">
        <w:rPr>
          <w:rFonts w:cs="Arial"/>
          <w:szCs w:val="24"/>
        </w:rPr>
        <w:t xml:space="preserve">four major playing pitch sports </w:t>
      </w:r>
      <w:r w:rsidR="009D287C">
        <w:rPr>
          <w:rFonts w:cs="Arial"/>
          <w:szCs w:val="24"/>
        </w:rPr>
        <w:t xml:space="preserve">(cricket, football, hockey, and rugby) </w:t>
      </w:r>
      <w:r w:rsidR="00964314">
        <w:rPr>
          <w:rFonts w:cs="Arial"/>
          <w:szCs w:val="24"/>
        </w:rPr>
        <w:t xml:space="preserve">played in Harrow </w:t>
      </w:r>
      <w:r w:rsidR="001C709F">
        <w:rPr>
          <w:rFonts w:cs="Arial"/>
          <w:szCs w:val="24"/>
        </w:rPr>
        <w:t>are as follows:</w:t>
      </w:r>
    </w:p>
    <w:p w14:paraId="0DDA7779" w14:textId="7CCDB1B0" w:rsidR="00E160FF" w:rsidRDefault="003A795A" w:rsidP="003A795A">
      <w:pPr>
        <w:pStyle w:val="ListParagraph"/>
        <w:numPr>
          <w:ilvl w:val="0"/>
          <w:numId w:val="17"/>
        </w:numPr>
        <w:rPr>
          <w:szCs w:val="24"/>
        </w:rPr>
      </w:pPr>
      <w:r>
        <w:rPr>
          <w:szCs w:val="24"/>
        </w:rPr>
        <w:t xml:space="preserve">For </w:t>
      </w:r>
      <w:r w:rsidR="0048795C">
        <w:rPr>
          <w:szCs w:val="24"/>
        </w:rPr>
        <w:t xml:space="preserve">playing pitches in Harrow there will be a requirement to provide additional playing </w:t>
      </w:r>
      <w:r w:rsidR="00656982">
        <w:rPr>
          <w:szCs w:val="24"/>
        </w:rPr>
        <w:t xml:space="preserve">and training capacity for all 4 of the </w:t>
      </w:r>
      <w:r w:rsidR="009D287C">
        <w:rPr>
          <w:szCs w:val="24"/>
        </w:rPr>
        <w:t>major sports</w:t>
      </w:r>
      <w:r w:rsidR="007B133B">
        <w:rPr>
          <w:szCs w:val="24"/>
        </w:rPr>
        <w:t xml:space="preserve">, whilst maintaining capacity currently provided </w:t>
      </w:r>
      <w:r w:rsidR="007F5704">
        <w:rPr>
          <w:szCs w:val="24"/>
        </w:rPr>
        <w:t>for minority pitch sports of Gaelic Football and American Football.</w:t>
      </w:r>
    </w:p>
    <w:p w14:paraId="59764F66" w14:textId="75F18B70" w:rsidR="00E62671" w:rsidRDefault="009C334D" w:rsidP="008651D7">
      <w:pPr>
        <w:pStyle w:val="ListParagraph"/>
        <w:numPr>
          <w:ilvl w:val="0"/>
          <w:numId w:val="17"/>
        </w:numPr>
        <w:rPr>
          <w:szCs w:val="24"/>
        </w:rPr>
      </w:pPr>
      <w:r>
        <w:rPr>
          <w:szCs w:val="24"/>
        </w:rPr>
        <w:t xml:space="preserve">The main characteristic of the current playing pitch </w:t>
      </w:r>
      <w:r w:rsidR="008651D7">
        <w:rPr>
          <w:szCs w:val="24"/>
        </w:rPr>
        <w:t xml:space="preserve">supply is the substantial reduction in the number </w:t>
      </w:r>
      <w:r w:rsidR="00E97DB2">
        <w:rPr>
          <w:szCs w:val="24"/>
        </w:rPr>
        <w:t xml:space="preserve">of natural turf sites and pitches with community availability and use for football </w:t>
      </w:r>
      <w:r w:rsidR="00EF7287">
        <w:rPr>
          <w:szCs w:val="24"/>
        </w:rPr>
        <w:t xml:space="preserve">over the last 10 years. This has, however, been offset </w:t>
      </w:r>
      <w:r w:rsidR="00F13DD2">
        <w:rPr>
          <w:szCs w:val="24"/>
        </w:rPr>
        <w:t>to a large degree by an increase in the supply of Artificial Grass Pitches (AGPs)</w:t>
      </w:r>
      <w:r w:rsidR="00C41A62">
        <w:rPr>
          <w:szCs w:val="24"/>
        </w:rPr>
        <w:t>.</w:t>
      </w:r>
    </w:p>
    <w:p w14:paraId="04C4BE44" w14:textId="63A5A5FD" w:rsidR="00C41A62" w:rsidRDefault="00C41A62" w:rsidP="008651D7">
      <w:pPr>
        <w:pStyle w:val="ListParagraph"/>
        <w:numPr>
          <w:ilvl w:val="0"/>
          <w:numId w:val="17"/>
        </w:numPr>
        <w:rPr>
          <w:szCs w:val="24"/>
        </w:rPr>
      </w:pPr>
      <w:r>
        <w:rPr>
          <w:szCs w:val="24"/>
        </w:rPr>
        <w:t xml:space="preserve">There has been a </w:t>
      </w:r>
      <w:r w:rsidR="00731FC9">
        <w:rPr>
          <w:szCs w:val="24"/>
        </w:rPr>
        <w:t xml:space="preserve">growth in the number of pitches available for cricket, the transfer </w:t>
      </w:r>
      <w:r w:rsidR="009D3320">
        <w:rPr>
          <w:szCs w:val="24"/>
        </w:rPr>
        <w:t xml:space="preserve">of use of a former rugby pitch to accommodate demand for American Football, and development </w:t>
      </w:r>
      <w:r w:rsidR="00FA5A03">
        <w:rPr>
          <w:szCs w:val="24"/>
        </w:rPr>
        <w:t>of the first rugby compliant AGP.</w:t>
      </w:r>
    </w:p>
    <w:p w14:paraId="28AB3894" w14:textId="3B0C7A3C" w:rsidR="00FA5A03" w:rsidRDefault="00FA5A03" w:rsidP="008651D7">
      <w:pPr>
        <w:pStyle w:val="ListParagraph"/>
        <w:numPr>
          <w:ilvl w:val="0"/>
          <w:numId w:val="17"/>
        </w:numPr>
        <w:rPr>
          <w:szCs w:val="24"/>
        </w:rPr>
      </w:pPr>
      <w:r>
        <w:rPr>
          <w:szCs w:val="24"/>
        </w:rPr>
        <w:t xml:space="preserve">The main change in demand since </w:t>
      </w:r>
      <w:r w:rsidR="00D57835">
        <w:rPr>
          <w:szCs w:val="24"/>
        </w:rPr>
        <w:t xml:space="preserve">the last assessment is the </w:t>
      </w:r>
      <w:r w:rsidR="00DF0C28">
        <w:rPr>
          <w:szCs w:val="24"/>
        </w:rPr>
        <w:t xml:space="preserve">continued growth in </w:t>
      </w:r>
      <w:r w:rsidR="00905187">
        <w:rPr>
          <w:szCs w:val="24"/>
        </w:rPr>
        <w:t xml:space="preserve">playing pitch sports at community clubs by children (including </w:t>
      </w:r>
      <w:r w:rsidR="009D2950">
        <w:rPr>
          <w:szCs w:val="24"/>
        </w:rPr>
        <w:lastRenderedPageBreak/>
        <w:t xml:space="preserve">girls), and in demand among adults </w:t>
      </w:r>
      <w:r w:rsidR="00FC69C3">
        <w:rPr>
          <w:szCs w:val="24"/>
        </w:rPr>
        <w:t>to play recreational pitch sports</w:t>
      </w:r>
      <w:r w:rsidR="006C0356">
        <w:rPr>
          <w:szCs w:val="24"/>
        </w:rPr>
        <w:t xml:space="preserve"> </w:t>
      </w:r>
      <w:r w:rsidR="00FC69C3">
        <w:rPr>
          <w:szCs w:val="24"/>
        </w:rPr>
        <w:t>outside the traditional sports club model.</w:t>
      </w:r>
    </w:p>
    <w:p w14:paraId="491B610B" w14:textId="36526A7E" w:rsidR="006C0356" w:rsidRDefault="006C0356" w:rsidP="008651D7">
      <w:pPr>
        <w:pStyle w:val="ListParagraph"/>
        <w:numPr>
          <w:ilvl w:val="0"/>
          <w:numId w:val="17"/>
        </w:numPr>
        <w:rPr>
          <w:szCs w:val="24"/>
        </w:rPr>
      </w:pPr>
      <w:r>
        <w:rPr>
          <w:szCs w:val="24"/>
        </w:rPr>
        <w:t xml:space="preserve">Fall in the number of adult men’s teams in football, but growth of interest </w:t>
      </w:r>
      <w:r w:rsidR="0067517B">
        <w:rPr>
          <w:szCs w:val="24"/>
        </w:rPr>
        <w:t>in American and Gaelic football.</w:t>
      </w:r>
    </w:p>
    <w:p w14:paraId="416FD5AE" w14:textId="374233DA" w:rsidR="0067517B" w:rsidRPr="003A795A" w:rsidRDefault="0067517B" w:rsidP="008651D7">
      <w:pPr>
        <w:pStyle w:val="ListParagraph"/>
        <w:numPr>
          <w:ilvl w:val="0"/>
          <w:numId w:val="17"/>
        </w:numPr>
        <w:rPr>
          <w:szCs w:val="24"/>
        </w:rPr>
      </w:pPr>
      <w:r>
        <w:rPr>
          <w:szCs w:val="24"/>
        </w:rPr>
        <w:t xml:space="preserve">Over 40% of grass </w:t>
      </w:r>
      <w:r w:rsidR="007A047D">
        <w:rPr>
          <w:szCs w:val="24"/>
        </w:rPr>
        <w:t>football pitches in the borough are of poor quality.</w:t>
      </w:r>
    </w:p>
    <w:p w14:paraId="6576B16B" w14:textId="77777777" w:rsidR="001C709F" w:rsidRDefault="001C709F" w:rsidP="00A1211C">
      <w:pPr>
        <w:rPr>
          <w:sz w:val="28"/>
        </w:rPr>
      </w:pPr>
    </w:p>
    <w:p w14:paraId="1B09E885" w14:textId="4EA9527F" w:rsidR="001C709F" w:rsidRPr="00664DB2" w:rsidRDefault="00664DB2" w:rsidP="00A1211C">
      <w:pPr>
        <w:rPr>
          <w:szCs w:val="24"/>
        </w:rPr>
      </w:pPr>
      <w:r>
        <w:rPr>
          <w:szCs w:val="24"/>
        </w:rPr>
        <w:t xml:space="preserve">3.2 </w:t>
      </w:r>
      <w:r w:rsidR="0091562C">
        <w:rPr>
          <w:szCs w:val="24"/>
        </w:rPr>
        <w:t xml:space="preserve">The key findings of </w:t>
      </w:r>
      <w:r w:rsidR="00733490">
        <w:rPr>
          <w:szCs w:val="24"/>
        </w:rPr>
        <w:t xml:space="preserve">the analysis of facility supply, demand and accessibility </w:t>
      </w:r>
      <w:r w:rsidR="00271CB6">
        <w:rPr>
          <w:szCs w:val="24"/>
        </w:rPr>
        <w:t xml:space="preserve">factors </w:t>
      </w:r>
      <w:r w:rsidR="00B6488E">
        <w:rPr>
          <w:szCs w:val="24"/>
        </w:rPr>
        <w:t xml:space="preserve">for indoor sports facilities (built facilities) </w:t>
      </w:r>
      <w:r w:rsidR="00EE37B0">
        <w:rPr>
          <w:szCs w:val="24"/>
        </w:rPr>
        <w:t>by sport facility type are as follows:</w:t>
      </w:r>
    </w:p>
    <w:p w14:paraId="243DE0C5" w14:textId="7616CE66" w:rsidR="00EE37B0" w:rsidRPr="00DE28FE" w:rsidRDefault="009A465A" w:rsidP="00EE37B0">
      <w:pPr>
        <w:pStyle w:val="ListParagraph"/>
        <w:numPr>
          <w:ilvl w:val="0"/>
          <w:numId w:val="18"/>
        </w:numPr>
        <w:rPr>
          <w:i/>
          <w:iCs/>
          <w:sz w:val="28"/>
        </w:rPr>
      </w:pPr>
      <w:r w:rsidRPr="009A465A">
        <w:rPr>
          <w:i/>
          <w:iCs/>
          <w:szCs w:val="24"/>
        </w:rPr>
        <w:t>Indoor Swimming Pools</w:t>
      </w:r>
      <w:r>
        <w:rPr>
          <w:szCs w:val="24"/>
        </w:rPr>
        <w:t xml:space="preserve"> </w:t>
      </w:r>
      <w:r w:rsidR="00223256">
        <w:rPr>
          <w:szCs w:val="24"/>
        </w:rPr>
        <w:t>–</w:t>
      </w:r>
      <w:r>
        <w:rPr>
          <w:szCs w:val="24"/>
        </w:rPr>
        <w:t xml:space="preserve"> </w:t>
      </w:r>
      <w:r w:rsidR="00223256">
        <w:rPr>
          <w:szCs w:val="24"/>
        </w:rPr>
        <w:t xml:space="preserve">A high-level of Harrow’s existing </w:t>
      </w:r>
      <w:r w:rsidR="009B1857">
        <w:rPr>
          <w:szCs w:val="24"/>
        </w:rPr>
        <w:t xml:space="preserve">and projected future demand for swimming pools can be met by the existing supply </w:t>
      </w:r>
      <w:r w:rsidR="000A6D1C">
        <w:rPr>
          <w:szCs w:val="24"/>
        </w:rPr>
        <w:t>available in the study area. There is, however, an over-riding need to replace or modernise the existing pool stock within Harrow</w:t>
      </w:r>
      <w:r w:rsidR="000073D2">
        <w:rPr>
          <w:szCs w:val="24"/>
        </w:rPr>
        <w:t>, particularly the borough’s ageing public pools.</w:t>
      </w:r>
      <w:r w:rsidR="009252B8">
        <w:rPr>
          <w:szCs w:val="24"/>
        </w:rPr>
        <w:t xml:space="preserve"> The borough</w:t>
      </w:r>
      <w:r w:rsidR="00EB1DFB">
        <w:rPr>
          <w:szCs w:val="24"/>
        </w:rPr>
        <w:t xml:space="preserve">’s pools are estimated to be full </w:t>
      </w:r>
      <w:r w:rsidR="007C4F59">
        <w:rPr>
          <w:szCs w:val="24"/>
        </w:rPr>
        <w:t xml:space="preserve">in </w:t>
      </w:r>
      <w:r w:rsidR="001D60AA">
        <w:rPr>
          <w:szCs w:val="24"/>
        </w:rPr>
        <w:t xml:space="preserve">all 3 modelling runs undertaken using the </w:t>
      </w:r>
      <w:r w:rsidR="00887E09">
        <w:rPr>
          <w:szCs w:val="24"/>
        </w:rPr>
        <w:t>Sport England’s Facilities Planning Model (FPM).</w:t>
      </w:r>
      <w:r w:rsidR="00A14901">
        <w:rPr>
          <w:szCs w:val="24"/>
        </w:rPr>
        <w:t xml:space="preserve"> More than half the total demand for swimming is met by pools located outside the borough.</w:t>
      </w:r>
    </w:p>
    <w:p w14:paraId="43D7DA90" w14:textId="1FD7F0A8" w:rsidR="00DE28FE" w:rsidRPr="009E5B53" w:rsidRDefault="00DE28FE" w:rsidP="00EE37B0">
      <w:pPr>
        <w:pStyle w:val="ListParagraph"/>
        <w:numPr>
          <w:ilvl w:val="0"/>
          <w:numId w:val="18"/>
        </w:numPr>
        <w:rPr>
          <w:i/>
          <w:iCs/>
          <w:sz w:val="28"/>
        </w:rPr>
      </w:pPr>
      <w:r>
        <w:rPr>
          <w:i/>
          <w:iCs/>
          <w:szCs w:val="24"/>
        </w:rPr>
        <w:t xml:space="preserve">Sports Halls </w:t>
      </w:r>
      <w:r w:rsidR="00BE047F">
        <w:rPr>
          <w:szCs w:val="24"/>
        </w:rPr>
        <w:t xml:space="preserve">– The demand for sports halls exceeds the accessible </w:t>
      </w:r>
      <w:r w:rsidR="001168C7">
        <w:rPr>
          <w:szCs w:val="24"/>
        </w:rPr>
        <w:t>supply of sports halls which is consistent with London as a whole.</w:t>
      </w:r>
      <w:r w:rsidR="0069099F">
        <w:rPr>
          <w:szCs w:val="24"/>
        </w:rPr>
        <w:t xml:space="preserve"> </w:t>
      </w:r>
      <w:r w:rsidR="00B12591">
        <w:rPr>
          <w:szCs w:val="24"/>
        </w:rPr>
        <w:t>49% of demand is met outside the borough</w:t>
      </w:r>
      <w:r w:rsidR="0062315D">
        <w:rPr>
          <w:szCs w:val="24"/>
        </w:rPr>
        <w:t xml:space="preserve"> and 51% is retained within Harrow. </w:t>
      </w:r>
    </w:p>
    <w:p w14:paraId="025F6C2B" w14:textId="1E33534F" w:rsidR="009E5B53" w:rsidRPr="005A00F0" w:rsidRDefault="009E5B53" w:rsidP="00EE37B0">
      <w:pPr>
        <w:pStyle w:val="ListParagraph"/>
        <w:numPr>
          <w:ilvl w:val="0"/>
          <w:numId w:val="18"/>
        </w:numPr>
        <w:rPr>
          <w:i/>
          <w:iCs/>
          <w:szCs w:val="24"/>
        </w:rPr>
      </w:pPr>
      <w:r>
        <w:rPr>
          <w:i/>
          <w:iCs/>
          <w:szCs w:val="24"/>
        </w:rPr>
        <w:t xml:space="preserve">Health and Fitness Facilities </w:t>
      </w:r>
      <w:r w:rsidR="006F79F1" w:rsidRPr="006F79F1">
        <w:rPr>
          <w:i/>
          <w:iCs/>
          <w:szCs w:val="24"/>
        </w:rPr>
        <w:t>–</w:t>
      </w:r>
      <w:r w:rsidRPr="006F79F1">
        <w:rPr>
          <w:i/>
          <w:iCs/>
          <w:szCs w:val="24"/>
        </w:rPr>
        <w:t xml:space="preserve"> </w:t>
      </w:r>
      <w:r w:rsidR="006F79F1" w:rsidRPr="006F79F1">
        <w:rPr>
          <w:szCs w:val="24"/>
        </w:rPr>
        <w:t xml:space="preserve">The distribution of </w:t>
      </w:r>
      <w:r w:rsidR="00A92727">
        <w:rPr>
          <w:szCs w:val="24"/>
        </w:rPr>
        <w:t xml:space="preserve">health and fitness facilities across the borough is good with all residents within a </w:t>
      </w:r>
      <w:r w:rsidR="005A5B40">
        <w:rPr>
          <w:szCs w:val="24"/>
        </w:rPr>
        <w:t>3-mile</w:t>
      </w:r>
      <w:r w:rsidR="00A92727">
        <w:rPr>
          <w:szCs w:val="24"/>
        </w:rPr>
        <w:t xml:space="preserve"> </w:t>
      </w:r>
      <w:r w:rsidR="006A23BF">
        <w:rPr>
          <w:szCs w:val="24"/>
        </w:rPr>
        <w:t>radius of a facility.</w:t>
      </w:r>
    </w:p>
    <w:p w14:paraId="0AE9B6BD" w14:textId="12DA0905" w:rsidR="005A00F0" w:rsidRPr="00EF608D" w:rsidRDefault="006E53CF" w:rsidP="00EE37B0">
      <w:pPr>
        <w:pStyle w:val="ListParagraph"/>
        <w:numPr>
          <w:ilvl w:val="0"/>
          <w:numId w:val="18"/>
        </w:numPr>
        <w:rPr>
          <w:i/>
          <w:iCs/>
          <w:szCs w:val="24"/>
        </w:rPr>
      </w:pPr>
      <w:r>
        <w:rPr>
          <w:i/>
          <w:iCs/>
          <w:szCs w:val="24"/>
        </w:rPr>
        <w:t xml:space="preserve">Squash Courts – </w:t>
      </w:r>
      <w:r>
        <w:rPr>
          <w:szCs w:val="24"/>
        </w:rPr>
        <w:t xml:space="preserve">The level of overall supply does not meet the </w:t>
      </w:r>
      <w:r w:rsidR="000E7D8A">
        <w:rPr>
          <w:szCs w:val="24"/>
        </w:rPr>
        <w:t>England squash benchmark quantitative guidance standard</w:t>
      </w:r>
      <w:r w:rsidR="000C2A4E">
        <w:rPr>
          <w:szCs w:val="24"/>
        </w:rPr>
        <w:t xml:space="preserve">. Sport England’s </w:t>
      </w:r>
      <w:r w:rsidR="005A5B40">
        <w:rPr>
          <w:szCs w:val="24"/>
        </w:rPr>
        <w:t xml:space="preserve">Active Lives Survey 2020/21 indicates a decrease in </w:t>
      </w:r>
      <w:r w:rsidR="00823B91">
        <w:rPr>
          <w:szCs w:val="24"/>
        </w:rPr>
        <w:t xml:space="preserve">adult demand for squash nationally over the last three years. </w:t>
      </w:r>
    </w:p>
    <w:p w14:paraId="68478CFC" w14:textId="25E69D17" w:rsidR="00EF608D" w:rsidRPr="00D94C34" w:rsidRDefault="00EF608D" w:rsidP="00EE37B0">
      <w:pPr>
        <w:pStyle w:val="ListParagraph"/>
        <w:numPr>
          <w:ilvl w:val="0"/>
          <w:numId w:val="18"/>
        </w:numPr>
        <w:rPr>
          <w:i/>
          <w:iCs/>
          <w:szCs w:val="24"/>
        </w:rPr>
      </w:pPr>
      <w:r>
        <w:rPr>
          <w:i/>
          <w:iCs/>
          <w:szCs w:val="24"/>
        </w:rPr>
        <w:t xml:space="preserve">Gymnastics and Trampolining Facilities </w:t>
      </w:r>
      <w:r w:rsidR="00112423">
        <w:rPr>
          <w:szCs w:val="24"/>
        </w:rPr>
        <w:t>–</w:t>
      </w:r>
      <w:r>
        <w:rPr>
          <w:szCs w:val="24"/>
        </w:rPr>
        <w:t xml:space="preserve"> </w:t>
      </w:r>
      <w:r w:rsidR="00112423">
        <w:rPr>
          <w:szCs w:val="24"/>
        </w:rPr>
        <w:t xml:space="preserve">Overall </w:t>
      </w:r>
      <w:r w:rsidR="00C501D4">
        <w:rPr>
          <w:szCs w:val="24"/>
        </w:rPr>
        <w:t>Sport England’s most recent Active Lives Survey findings indicates no sign</w:t>
      </w:r>
      <w:r w:rsidR="00775263">
        <w:rPr>
          <w:szCs w:val="24"/>
        </w:rPr>
        <w:t xml:space="preserve">ificant change in adult demand for gymnastics and trampolining nationally. </w:t>
      </w:r>
      <w:r w:rsidR="00224EFD">
        <w:rPr>
          <w:szCs w:val="24"/>
        </w:rPr>
        <w:t xml:space="preserve">However, there is huge demand for provision at Harrow School of Gymnastics </w:t>
      </w:r>
      <w:r w:rsidR="00737703">
        <w:rPr>
          <w:szCs w:val="24"/>
        </w:rPr>
        <w:t>that they are unable to meet compared to other clubs</w:t>
      </w:r>
      <w:r w:rsidR="00D94C34">
        <w:rPr>
          <w:szCs w:val="24"/>
        </w:rPr>
        <w:t>.</w:t>
      </w:r>
    </w:p>
    <w:p w14:paraId="7FBB6DEE" w14:textId="7AB5255D" w:rsidR="00D94C34" w:rsidRPr="00820AB9" w:rsidRDefault="00D94C34" w:rsidP="00EE37B0">
      <w:pPr>
        <w:pStyle w:val="ListParagraph"/>
        <w:numPr>
          <w:ilvl w:val="0"/>
          <w:numId w:val="18"/>
        </w:numPr>
        <w:rPr>
          <w:i/>
          <w:iCs/>
          <w:szCs w:val="24"/>
        </w:rPr>
      </w:pPr>
      <w:r>
        <w:rPr>
          <w:i/>
          <w:iCs/>
          <w:szCs w:val="24"/>
        </w:rPr>
        <w:t xml:space="preserve">Athletics Facilities </w:t>
      </w:r>
      <w:r w:rsidR="002B060E">
        <w:rPr>
          <w:i/>
          <w:iCs/>
          <w:szCs w:val="24"/>
        </w:rPr>
        <w:t>–</w:t>
      </w:r>
      <w:r>
        <w:rPr>
          <w:i/>
          <w:iCs/>
          <w:szCs w:val="24"/>
        </w:rPr>
        <w:t xml:space="preserve"> </w:t>
      </w:r>
      <w:r w:rsidR="002B060E">
        <w:rPr>
          <w:szCs w:val="24"/>
        </w:rPr>
        <w:t xml:space="preserve">The athletics facilities at Bannister Sports Centre </w:t>
      </w:r>
      <w:r w:rsidR="00DE4BD6">
        <w:rPr>
          <w:szCs w:val="24"/>
        </w:rPr>
        <w:t xml:space="preserve">can meet the needs </w:t>
      </w:r>
      <w:r w:rsidR="0025756C">
        <w:rPr>
          <w:szCs w:val="24"/>
        </w:rPr>
        <w:t>for</w:t>
      </w:r>
      <w:r w:rsidR="00DE4BD6">
        <w:rPr>
          <w:szCs w:val="24"/>
        </w:rPr>
        <w:t xml:space="preserve"> athletics/running demand in Harrow</w:t>
      </w:r>
      <w:r w:rsidR="00820AB9">
        <w:rPr>
          <w:szCs w:val="24"/>
        </w:rPr>
        <w:t>.</w:t>
      </w:r>
    </w:p>
    <w:p w14:paraId="233F658B" w14:textId="12D9732B" w:rsidR="00820AB9" w:rsidRPr="000B2D01" w:rsidRDefault="00820AB9" w:rsidP="00EE37B0">
      <w:pPr>
        <w:pStyle w:val="ListParagraph"/>
        <w:numPr>
          <w:ilvl w:val="0"/>
          <w:numId w:val="18"/>
        </w:numPr>
        <w:rPr>
          <w:i/>
          <w:iCs/>
          <w:szCs w:val="24"/>
        </w:rPr>
      </w:pPr>
      <w:r>
        <w:rPr>
          <w:i/>
          <w:iCs/>
          <w:szCs w:val="24"/>
        </w:rPr>
        <w:t xml:space="preserve">Tennis Facilities </w:t>
      </w:r>
      <w:r w:rsidR="00980476">
        <w:rPr>
          <w:szCs w:val="24"/>
        </w:rPr>
        <w:t>–</w:t>
      </w:r>
      <w:r>
        <w:rPr>
          <w:szCs w:val="24"/>
        </w:rPr>
        <w:t xml:space="preserve"> </w:t>
      </w:r>
      <w:r w:rsidR="00980476">
        <w:rPr>
          <w:szCs w:val="24"/>
        </w:rPr>
        <w:t xml:space="preserve">The Lawn Tennis Association (LTA) </w:t>
      </w:r>
      <w:r w:rsidR="00501BA2">
        <w:rPr>
          <w:szCs w:val="24"/>
        </w:rPr>
        <w:t xml:space="preserve">feels that there is a strong stock of tennis facilities across both </w:t>
      </w:r>
      <w:r w:rsidR="006E77D5">
        <w:rPr>
          <w:szCs w:val="24"/>
        </w:rPr>
        <w:t xml:space="preserve">the Harrow parks and the club infrastructure to meet future demand. </w:t>
      </w:r>
      <w:r w:rsidR="003E354E">
        <w:rPr>
          <w:szCs w:val="24"/>
        </w:rPr>
        <w:t>There had been recent investment by the LTA in all 13 park sites.</w:t>
      </w:r>
    </w:p>
    <w:p w14:paraId="4B3A0B23" w14:textId="24D4673B" w:rsidR="000B2D01" w:rsidRPr="007D7734" w:rsidRDefault="000B2D01" w:rsidP="00EE37B0">
      <w:pPr>
        <w:pStyle w:val="ListParagraph"/>
        <w:numPr>
          <w:ilvl w:val="0"/>
          <w:numId w:val="18"/>
        </w:numPr>
        <w:rPr>
          <w:i/>
          <w:iCs/>
          <w:szCs w:val="24"/>
        </w:rPr>
      </w:pPr>
      <w:r>
        <w:rPr>
          <w:i/>
          <w:iCs/>
          <w:szCs w:val="24"/>
        </w:rPr>
        <w:t xml:space="preserve">Netball </w:t>
      </w:r>
      <w:r>
        <w:rPr>
          <w:szCs w:val="24"/>
        </w:rPr>
        <w:t xml:space="preserve">– the majority of </w:t>
      </w:r>
      <w:r w:rsidR="00EE7805">
        <w:rPr>
          <w:szCs w:val="24"/>
        </w:rPr>
        <w:t xml:space="preserve">courts are on education sites, with just the courts at Harrow Leisure Centre </w:t>
      </w:r>
      <w:r w:rsidR="007D7734">
        <w:rPr>
          <w:szCs w:val="24"/>
        </w:rPr>
        <w:t xml:space="preserve">and Aspire Leisure Centre on non-educational sites. </w:t>
      </w:r>
    </w:p>
    <w:p w14:paraId="394E91CF" w14:textId="3180B78B" w:rsidR="007D7734" w:rsidRDefault="007D7734" w:rsidP="00EE37B0">
      <w:pPr>
        <w:pStyle w:val="ListParagraph"/>
        <w:numPr>
          <w:ilvl w:val="0"/>
          <w:numId w:val="18"/>
        </w:numPr>
        <w:rPr>
          <w:szCs w:val="24"/>
        </w:rPr>
      </w:pPr>
      <w:r>
        <w:rPr>
          <w:i/>
          <w:iCs/>
          <w:szCs w:val="24"/>
        </w:rPr>
        <w:t xml:space="preserve">Cycling, </w:t>
      </w:r>
      <w:r w:rsidR="00536A95">
        <w:rPr>
          <w:i/>
          <w:iCs/>
          <w:szCs w:val="24"/>
        </w:rPr>
        <w:t xml:space="preserve">BMX and Skate Park </w:t>
      </w:r>
      <w:r w:rsidR="00B43407">
        <w:rPr>
          <w:i/>
          <w:iCs/>
          <w:szCs w:val="24"/>
        </w:rPr>
        <w:t>Provision</w:t>
      </w:r>
      <w:r w:rsidR="00536A95">
        <w:rPr>
          <w:i/>
          <w:iCs/>
          <w:szCs w:val="24"/>
        </w:rPr>
        <w:t xml:space="preserve"> </w:t>
      </w:r>
      <w:r w:rsidR="00B43407">
        <w:rPr>
          <w:i/>
          <w:iCs/>
          <w:szCs w:val="24"/>
        </w:rPr>
        <w:t>–</w:t>
      </w:r>
      <w:r w:rsidR="00536A95">
        <w:rPr>
          <w:i/>
          <w:iCs/>
          <w:szCs w:val="24"/>
        </w:rPr>
        <w:t xml:space="preserve"> </w:t>
      </w:r>
      <w:r w:rsidR="00B43407" w:rsidRPr="00541893">
        <w:rPr>
          <w:szCs w:val="24"/>
        </w:rPr>
        <w:t>British Cycling</w:t>
      </w:r>
      <w:r w:rsidR="00594F32">
        <w:rPr>
          <w:szCs w:val="24"/>
        </w:rPr>
        <w:t>’s</w:t>
      </w:r>
      <w:r w:rsidR="00B43407" w:rsidRPr="00541893">
        <w:rPr>
          <w:szCs w:val="24"/>
        </w:rPr>
        <w:t xml:space="preserve"> </w:t>
      </w:r>
      <w:r w:rsidR="00541893" w:rsidRPr="00541893">
        <w:rPr>
          <w:szCs w:val="24"/>
        </w:rPr>
        <w:t xml:space="preserve">assessment is that there is </w:t>
      </w:r>
      <w:r w:rsidR="00541893">
        <w:rPr>
          <w:szCs w:val="24"/>
        </w:rPr>
        <w:t>a sufficient supply of significant cycling facilities which are accessible to Harrow residents.</w:t>
      </w:r>
    </w:p>
    <w:p w14:paraId="0AB76DEE" w14:textId="326DEE7D" w:rsidR="008206F7" w:rsidRDefault="008206F7" w:rsidP="00EE37B0">
      <w:pPr>
        <w:pStyle w:val="ListParagraph"/>
        <w:numPr>
          <w:ilvl w:val="0"/>
          <w:numId w:val="18"/>
        </w:numPr>
        <w:rPr>
          <w:szCs w:val="24"/>
        </w:rPr>
      </w:pPr>
      <w:r>
        <w:rPr>
          <w:i/>
          <w:iCs/>
          <w:szCs w:val="24"/>
        </w:rPr>
        <w:t xml:space="preserve">Bowls Provision </w:t>
      </w:r>
      <w:r w:rsidR="0032372E">
        <w:rPr>
          <w:szCs w:val="24"/>
        </w:rPr>
        <w:t>–</w:t>
      </w:r>
      <w:r>
        <w:rPr>
          <w:szCs w:val="24"/>
        </w:rPr>
        <w:t xml:space="preserve"> </w:t>
      </w:r>
      <w:r w:rsidR="0032372E">
        <w:rPr>
          <w:szCs w:val="24"/>
        </w:rPr>
        <w:t xml:space="preserve">England Bowls has not identified a need for any additional facilities in the study area </w:t>
      </w:r>
      <w:r w:rsidR="004679B5">
        <w:rPr>
          <w:szCs w:val="24"/>
        </w:rPr>
        <w:t>but improvements to the quality of greens and ancillary facilities is needed.</w:t>
      </w:r>
    </w:p>
    <w:p w14:paraId="212903B4" w14:textId="4F9AA6F5" w:rsidR="00125C8C" w:rsidRDefault="00125C8C" w:rsidP="00EE37B0">
      <w:pPr>
        <w:pStyle w:val="ListParagraph"/>
        <w:numPr>
          <w:ilvl w:val="0"/>
          <w:numId w:val="18"/>
        </w:numPr>
        <w:rPr>
          <w:szCs w:val="24"/>
        </w:rPr>
      </w:pPr>
      <w:r>
        <w:rPr>
          <w:i/>
          <w:iCs/>
          <w:szCs w:val="24"/>
        </w:rPr>
        <w:t xml:space="preserve">Boxing Provision </w:t>
      </w:r>
      <w:r w:rsidR="00215BE5">
        <w:rPr>
          <w:szCs w:val="24"/>
        </w:rPr>
        <w:t>–</w:t>
      </w:r>
      <w:r>
        <w:rPr>
          <w:szCs w:val="24"/>
        </w:rPr>
        <w:t xml:space="preserve"> </w:t>
      </w:r>
      <w:r w:rsidR="00215BE5">
        <w:rPr>
          <w:szCs w:val="24"/>
        </w:rPr>
        <w:t>England Boxing has not identified any facility need and feels that clubs in the area are able to meet current demand.</w:t>
      </w:r>
    </w:p>
    <w:p w14:paraId="7B03DF37" w14:textId="2883E37B" w:rsidR="00D02CB7" w:rsidRDefault="00D02CB7" w:rsidP="00D02CB7">
      <w:pPr>
        <w:rPr>
          <w:szCs w:val="24"/>
        </w:rPr>
      </w:pPr>
    </w:p>
    <w:p w14:paraId="66BAC0A5" w14:textId="257D676A" w:rsidR="00D02CB7" w:rsidRDefault="00D02CB7" w:rsidP="00D02CB7">
      <w:pPr>
        <w:rPr>
          <w:szCs w:val="24"/>
        </w:rPr>
      </w:pPr>
    </w:p>
    <w:p w14:paraId="56F50F72" w14:textId="77777777" w:rsidR="00D02CB7" w:rsidRPr="00D02CB7" w:rsidRDefault="00D02CB7" w:rsidP="00D02CB7">
      <w:pPr>
        <w:rPr>
          <w:szCs w:val="24"/>
        </w:rPr>
      </w:pPr>
    </w:p>
    <w:p w14:paraId="5C062657" w14:textId="4C260E73" w:rsidR="00894A34" w:rsidRPr="00894A34" w:rsidRDefault="00894A34" w:rsidP="00894A34">
      <w:pPr>
        <w:pStyle w:val="ListParagraph"/>
        <w:numPr>
          <w:ilvl w:val="0"/>
          <w:numId w:val="8"/>
        </w:numPr>
        <w:rPr>
          <w:b/>
          <w:bCs/>
          <w:sz w:val="28"/>
        </w:rPr>
      </w:pPr>
      <w:r>
        <w:rPr>
          <w:b/>
          <w:bCs/>
          <w:sz w:val="28"/>
        </w:rPr>
        <w:lastRenderedPageBreak/>
        <w:t>Options Considered</w:t>
      </w:r>
    </w:p>
    <w:p w14:paraId="40F6D79B" w14:textId="77777777" w:rsidR="00894A34" w:rsidRDefault="00894A34" w:rsidP="00A1211C">
      <w:pPr>
        <w:rPr>
          <w:sz w:val="28"/>
        </w:rPr>
      </w:pPr>
    </w:p>
    <w:p w14:paraId="1FE5EFE7" w14:textId="27DCBA10" w:rsidR="006C198A" w:rsidRPr="0017624B" w:rsidRDefault="002129B6" w:rsidP="006C198A">
      <w:pPr>
        <w:rPr>
          <w:rFonts w:eastAsia="Calibri"/>
          <w:bCs/>
        </w:rPr>
      </w:pPr>
      <w:r w:rsidRPr="00102D82">
        <w:rPr>
          <w:szCs w:val="24"/>
        </w:rPr>
        <w:t xml:space="preserve">4.1 </w:t>
      </w:r>
      <w:r w:rsidR="00102D82">
        <w:rPr>
          <w:b/>
          <w:bCs/>
          <w:szCs w:val="24"/>
        </w:rPr>
        <w:t xml:space="preserve">Option A: </w:t>
      </w:r>
      <w:r w:rsidR="006C198A" w:rsidRPr="006C198A">
        <w:rPr>
          <w:rFonts w:eastAsia="Calibri"/>
          <w:b/>
        </w:rPr>
        <w:t>To adopt the Harrow Indoor and Outdoor Sports Facilities Strategy, 202</w:t>
      </w:r>
      <w:r w:rsidR="00742D60">
        <w:rPr>
          <w:rFonts w:eastAsia="Calibri"/>
          <w:b/>
        </w:rPr>
        <w:t>4</w:t>
      </w:r>
      <w:r w:rsidR="006C198A" w:rsidRPr="006C198A">
        <w:rPr>
          <w:rFonts w:eastAsia="Calibri"/>
          <w:b/>
        </w:rPr>
        <w:t>-2037</w:t>
      </w:r>
      <w:r w:rsidR="0017624B">
        <w:rPr>
          <w:rFonts w:eastAsia="Calibri"/>
          <w:b/>
        </w:rPr>
        <w:t xml:space="preserve">. </w:t>
      </w:r>
      <w:r w:rsidR="00E43165">
        <w:rPr>
          <w:rFonts w:eastAsia="Calibri"/>
          <w:bCs/>
        </w:rPr>
        <w:t xml:space="preserve">By adopting the strategy, the Council will have a </w:t>
      </w:r>
      <w:r w:rsidR="008674B6">
        <w:t>strategic direction to improve Harrow’s sports infrastructure</w:t>
      </w:r>
      <w:r w:rsidR="000A30FC">
        <w:t xml:space="preserve">. The </w:t>
      </w:r>
      <w:r w:rsidR="00EC0F0E">
        <w:t xml:space="preserve">strategy will inform </w:t>
      </w:r>
      <w:r w:rsidR="008674B6">
        <w:t>future investment in facilities</w:t>
      </w:r>
      <w:r w:rsidR="00EC0F0E">
        <w:t xml:space="preserve"> and provide an evidence base </w:t>
      </w:r>
      <w:r w:rsidR="00060AEB">
        <w:t>and clear priorities</w:t>
      </w:r>
      <w:r w:rsidR="00CD00AD">
        <w:t xml:space="preserve"> to inform spatial planning policy </w:t>
      </w:r>
      <w:r w:rsidR="008D0409">
        <w:t>and external funding bids</w:t>
      </w:r>
      <w:r w:rsidR="008674B6">
        <w:t xml:space="preserve">. </w:t>
      </w:r>
      <w:r w:rsidR="008674B6" w:rsidRPr="00365B5F">
        <w:t xml:space="preserve">The Strategy will </w:t>
      </w:r>
      <w:r w:rsidR="008674B6">
        <w:t xml:space="preserve">help to </w:t>
      </w:r>
      <w:r w:rsidR="008674B6" w:rsidRPr="00365B5F">
        <w:t>achieve improved health and wellbeing outcomes for Harrow</w:t>
      </w:r>
      <w:r w:rsidR="008674B6">
        <w:t xml:space="preserve"> by </w:t>
      </w:r>
      <w:r w:rsidR="008674B6" w:rsidRPr="00365B5F">
        <w:t>provid</w:t>
      </w:r>
      <w:r w:rsidR="008674B6">
        <w:t>ing</w:t>
      </w:r>
      <w:r w:rsidR="008674B6" w:rsidRPr="00365B5F">
        <w:t xml:space="preserve"> better access to sports facilities</w:t>
      </w:r>
      <w:r w:rsidR="008674B6">
        <w:t xml:space="preserve"> and</w:t>
      </w:r>
      <w:r w:rsidR="008674B6" w:rsidRPr="00365B5F">
        <w:t xml:space="preserve"> increas</w:t>
      </w:r>
      <w:r w:rsidR="008674B6">
        <w:t>ing</w:t>
      </w:r>
      <w:r w:rsidR="008674B6" w:rsidRPr="00365B5F">
        <w:t xml:space="preserve"> </w:t>
      </w:r>
      <w:r w:rsidR="008674B6">
        <w:t>residents</w:t>
      </w:r>
      <w:r w:rsidR="008674B6" w:rsidRPr="00365B5F">
        <w:t xml:space="preserve">’ participation in sport and physical </w:t>
      </w:r>
      <w:r w:rsidR="008674B6">
        <w:t>activity.</w:t>
      </w:r>
    </w:p>
    <w:p w14:paraId="777C2FD2" w14:textId="533139E6" w:rsidR="00894A34" w:rsidRDefault="00894A34" w:rsidP="00A1211C">
      <w:pPr>
        <w:rPr>
          <w:b/>
          <w:bCs/>
          <w:szCs w:val="24"/>
        </w:rPr>
      </w:pPr>
    </w:p>
    <w:p w14:paraId="387FCE54" w14:textId="6E02912F" w:rsidR="005A4EC5" w:rsidRPr="004E5DEB" w:rsidRDefault="005A4EC5" w:rsidP="00A1211C">
      <w:pPr>
        <w:rPr>
          <w:b/>
          <w:bCs/>
          <w:szCs w:val="24"/>
        </w:rPr>
      </w:pPr>
      <w:r w:rsidRPr="004E5DEB">
        <w:rPr>
          <w:b/>
          <w:bCs/>
          <w:szCs w:val="24"/>
        </w:rPr>
        <w:t xml:space="preserve">This option is </w:t>
      </w:r>
      <w:r w:rsidR="00E4126D" w:rsidRPr="004E5DEB">
        <w:rPr>
          <w:b/>
          <w:bCs/>
          <w:szCs w:val="24"/>
        </w:rPr>
        <w:t>recommended.</w:t>
      </w:r>
    </w:p>
    <w:p w14:paraId="0BDFDFCD" w14:textId="77777777" w:rsidR="006C198A" w:rsidRDefault="006C198A" w:rsidP="00A1211C">
      <w:pPr>
        <w:rPr>
          <w:b/>
          <w:bCs/>
          <w:szCs w:val="24"/>
        </w:rPr>
      </w:pPr>
    </w:p>
    <w:p w14:paraId="35D78DDC" w14:textId="39455560" w:rsidR="005A4EC5" w:rsidRPr="008D0409" w:rsidRDefault="00EB6CFF" w:rsidP="005A4EC5">
      <w:pPr>
        <w:rPr>
          <w:rFonts w:eastAsia="Calibri"/>
          <w:bCs/>
        </w:rPr>
      </w:pPr>
      <w:r>
        <w:rPr>
          <w:szCs w:val="24"/>
        </w:rPr>
        <w:t xml:space="preserve">4.2 </w:t>
      </w:r>
      <w:r>
        <w:rPr>
          <w:b/>
          <w:bCs/>
          <w:szCs w:val="24"/>
        </w:rPr>
        <w:t xml:space="preserve">Option B: </w:t>
      </w:r>
      <w:r w:rsidR="005A4EC5" w:rsidRPr="005A4EC5">
        <w:rPr>
          <w:rFonts w:eastAsia="Calibri"/>
          <w:b/>
        </w:rPr>
        <w:t>To continue the current situation and not adopt the Harrow Indoor and Outdoor Sports Facilities Strategy, 202</w:t>
      </w:r>
      <w:r w:rsidR="00742D60">
        <w:rPr>
          <w:rFonts w:eastAsia="Calibri"/>
          <w:b/>
        </w:rPr>
        <w:t>4</w:t>
      </w:r>
      <w:r w:rsidR="005A4EC5" w:rsidRPr="005A4EC5">
        <w:rPr>
          <w:rFonts w:eastAsia="Calibri"/>
          <w:b/>
        </w:rPr>
        <w:t>-2037</w:t>
      </w:r>
      <w:r w:rsidR="008D0409">
        <w:rPr>
          <w:rFonts w:eastAsia="Calibri"/>
          <w:b/>
        </w:rPr>
        <w:t xml:space="preserve">. </w:t>
      </w:r>
      <w:r w:rsidR="00E4126D">
        <w:rPr>
          <w:rFonts w:eastAsia="Calibri"/>
          <w:bCs/>
        </w:rPr>
        <w:t>Under this option the Council would not have a str</w:t>
      </w:r>
      <w:r w:rsidR="00322F26">
        <w:rPr>
          <w:rFonts w:eastAsia="Calibri"/>
          <w:bCs/>
        </w:rPr>
        <w:t xml:space="preserve">ategic plan to ensure indoor and outdoor sports facilities </w:t>
      </w:r>
      <w:r w:rsidR="00C87EB4">
        <w:rPr>
          <w:rFonts w:eastAsia="Calibri"/>
          <w:bCs/>
        </w:rPr>
        <w:t>meet the future community needs of the borough</w:t>
      </w:r>
      <w:r w:rsidR="006815D2">
        <w:rPr>
          <w:rFonts w:eastAsia="Calibri"/>
          <w:bCs/>
        </w:rPr>
        <w:t xml:space="preserve">, with no evidence base </w:t>
      </w:r>
      <w:r w:rsidR="005E6189">
        <w:rPr>
          <w:rFonts w:eastAsia="Calibri"/>
          <w:bCs/>
        </w:rPr>
        <w:t>to inform spatial planning policy and external funding bids.</w:t>
      </w:r>
      <w:r w:rsidR="009823DE">
        <w:rPr>
          <w:rFonts w:eastAsia="Calibri"/>
          <w:bCs/>
        </w:rPr>
        <w:t xml:space="preserve"> Sport England have signed off the </w:t>
      </w:r>
      <w:r w:rsidR="002E3CD0">
        <w:rPr>
          <w:rFonts w:eastAsia="Calibri"/>
          <w:bCs/>
        </w:rPr>
        <w:t>Strategy and whilst not all Local Authorities formally adopt their strategies</w:t>
      </w:r>
      <w:r w:rsidR="00A51692">
        <w:rPr>
          <w:rFonts w:eastAsia="Calibri"/>
          <w:bCs/>
        </w:rPr>
        <w:t xml:space="preserve">, failure to do so will weaken the position </w:t>
      </w:r>
      <w:r w:rsidR="00BE2B0E">
        <w:rPr>
          <w:rFonts w:eastAsia="Calibri"/>
          <w:bCs/>
        </w:rPr>
        <w:t>to secure Sport England support when bidding for funds.</w:t>
      </w:r>
    </w:p>
    <w:p w14:paraId="6A448F4A" w14:textId="296A0179" w:rsidR="006C198A" w:rsidRPr="00EB6CFF" w:rsidRDefault="006C198A" w:rsidP="00A1211C">
      <w:pPr>
        <w:rPr>
          <w:b/>
          <w:bCs/>
          <w:szCs w:val="24"/>
        </w:rPr>
      </w:pPr>
    </w:p>
    <w:p w14:paraId="12FFB02E" w14:textId="5ADC1D20" w:rsidR="001C7E35" w:rsidRPr="00D64000" w:rsidRDefault="00D64000" w:rsidP="00A1211C">
      <w:pPr>
        <w:rPr>
          <w:szCs w:val="24"/>
        </w:rPr>
      </w:pPr>
      <w:r>
        <w:rPr>
          <w:szCs w:val="24"/>
        </w:rPr>
        <w:t xml:space="preserve">This option is not </w:t>
      </w:r>
      <w:r w:rsidR="00E4126D">
        <w:rPr>
          <w:szCs w:val="24"/>
        </w:rPr>
        <w:t>recommended.</w:t>
      </w:r>
      <w:r>
        <w:rPr>
          <w:szCs w:val="24"/>
        </w:rPr>
        <w:t xml:space="preserve"> </w:t>
      </w:r>
    </w:p>
    <w:p w14:paraId="2E33A591" w14:textId="77777777" w:rsidR="00333FAA" w:rsidRPr="00F06E4E" w:rsidRDefault="00333FAA" w:rsidP="00BB24B3">
      <w:pPr>
        <w:rPr>
          <w:rFonts w:cs="Arial"/>
          <w:color w:val="0000FF"/>
          <w:sz w:val="28"/>
          <w:szCs w:val="28"/>
        </w:rPr>
      </w:pPr>
    </w:p>
    <w:p w14:paraId="1842CA71" w14:textId="24458704" w:rsidR="00333FAA" w:rsidRPr="004212D1" w:rsidRDefault="004212D1" w:rsidP="00BB24B3">
      <w:pPr>
        <w:pStyle w:val="ListParagraph"/>
        <w:numPr>
          <w:ilvl w:val="0"/>
          <w:numId w:val="8"/>
        </w:numPr>
        <w:rPr>
          <w:rFonts w:cs="Arial"/>
          <w:b/>
          <w:bCs/>
          <w:color w:val="000000" w:themeColor="text1"/>
          <w:sz w:val="28"/>
          <w:szCs w:val="28"/>
        </w:rPr>
      </w:pPr>
      <w:r>
        <w:rPr>
          <w:rFonts w:cs="Arial"/>
          <w:b/>
          <w:bCs/>
          <w:color w:val="000000" w:themeColor="text1"/>
          <w:sz w:val="28"/>
          <w:szCs w:val="28"/>
        </w:rPr>
        <w:t>Why a Change is Needed</w:t>
      </w:r>
    </w:p>
    <w:p w14:paraId="6546296F" w14:textId="77777777" w:rsidR="005E6189" w:rsidRDefault="005E6189" w:rsidP="00BB24B3">
      <w:pPr>
        <w:rPr>
          <w:rFonts w:cs="Arial"/>
          <w:color w:val="0000FF"/>
          <w:sz w:val="28"/>
          <w:szCs w:val="28"/>
        </w:rPr>
      </w:pPr>
    </w:p>
    <w:p w14:paraId="380FB043" w14:textId="5F09C6C9" w:rsidR="00264460" w:rsidRPr="00264460" w:rsidRDefault="00AE27BA" w:rsidP="00BB24B3">
      <w:pPr>
        <w:suppressAutoHyphens/>
        <w:autoSpaceDN w:val="0"/>
        <w:spacing w:line="242" w:lineRule="auto"/>
        <w:rPr>
          <w:rFonts w:eastAsia="Calibri" w:cs="Arial"/>
          <w:color w:val="000000"/>
          <w:szCs w:val="24"/>
        </w:rPr>
      </w:pPr>
      <w:r>
        <w:rPr>
          <w:rFonts w:eastAsia="Calibri" w:cs="Arial"/>
          <w:color w:val="000000"/>
          <w:szCs w:val="24"/>
        </w:rPr>
        <w:t xml:space="preserve">5.1 </w:t>
      </w:r>
      <w:r w:rsidR="00264460" w:rsidRPr="00264460">
        <w:rPr>
          <w:rFonts w:eastAsia="Calibri" w:cs="Arial"/>
          <w:color w:val="000000"/>
          <w:szCs w:val="24"/>
        </w:rPr>
        <w:t xml:space="preserve">Section 3 of the Strategy </w:t>
      </w:r>
      <w:r>
        <w:rPr>
          <w:rFonts w:eastAsia="Calibri" w:cs="Arial"/>
          <w:color w:val="000000"/>
          <w:szCs w:val="24"/>
        </w:rPr>
        <w:t>(</w:t>
      </w:r>
      <w:r w:rsidR="00264460" w:rsidRPr="00264460">
        <w:rPr>
          <w:rFonts w:eastAsia="Calibri" w:cs="Arial"/>
          <w:color w:val="000000"/>
          <w:szCs w:val="24"/>
        </w:rPr>
        <w:t>pages 96-</w:t>
      </w:r>
      <w:r w:rsidR="00781B03">
        <w:rPr>
          <w:rFonts w:eastAsia="Calibri" w:cs="Arial"/>
          <w:color w:val="000000"/>
          <w:szCs w:val="24"/>
        </w:rPr>
        <w:t>99</w:t>
      </w:r>
      <w:r w:rsidR="00212A04">
        <w:rPr>
          <w:rFonts w:eastAsia="Calibri" w:cs="Arial"/>
          <w:color w:val="000000"/>
          <w:szCs w:val="24"/>
        </w:rPr>
        <w:t>)</w:t>
      </w:r>
      <w:r w:rsidR="00264460" w:rsidRPr="00264460">
        <w:rPr>
          <w:rFonts w:eastAsia="Calibri" w:cs="Arial"/>
          <w:color w:val="000000"/>
          <w:szCs w:val="24"/>
        </w:rPr>
        <w:t xml:space="preserve"> set</w:t>
      </w:r>
      <w:r w:rsidR="005E0CD8">
        <w:rPr>
          <w:rFonts w:eastAsia="Calibri" w:cs="Arial"/>
          <w:color w:val="000000"/>
          <w:szCs w:val="24"/>
        </w:rPr>
        <w:t>s</w:t>
      </w:r>
      <w:r w:rsidR="00264460" w:rsidRPr="00264460">
        <w:rPr>
          <w:rFonts w:eastAsia="Calibri" w:cs="Arial"/>
          <w:color w:val="000000"/>
          <w:szCs w:val="24"/>
        </w:rPr>
        <w:t xml:space="preserve"> out a number of overarching strategic recommendations aimed at ensuring the on-going provision of high quality, accessible playing pitches and built sport facilities and can meet the needs and demands of the borough’s current and future populations. The recommendations respond to the facility needs highlighted in Section 2 i.e., the Playing Pitch Strategy (part 1) and the Built Facilities Strategy (part 2).</w:t>
      </w:r>
    </w:p>
    <w:p w14:paraId="4CE9C3FE" w14:textId="77777777" w:rsidR="00264460" w:rsidRPr="00264460" w:rsidRDefault="00264460" w:rsidP="00BB24B3">
      <w:pPr>
        <w:suppressAutoHyphens/>
        <w:autoSpaceDN w:val="0"/>
        <w:spacing w:line="242" w:lineRule="auto"/>
        <w:rPr>
          <w:rFonts w:eastAsia="Calibri" w:cs="Arial"/>
          <w:color w:val="000000"/>
          <w:szCs w:val="24"/>
        </w:rPr>
      </w:pPr>
    </w:p>
    <w:p w14:paraId="3F10D651" w14:textId="77777777" w:rsidR="00264460" w:rsidRPr="00264460" w:rsidRDefault="00264460" w:rsidP="00BB24B3">
      <w:pPr>
        <w:numPr>
          <w:ilvl w:val="0"/>
          <w:numId w:val="21"/>
        </w:numPr>
        <w:suppressAutoHyphens/>
        <w:autoSpaceDN w:val="0"/>
        <w:spacing w:after="160" w:line="242" w:lineRule="auto"/>
        <w:contextualSpacing/>
        <w:rPr>
          <w:rFonts w:eastAsia="Calibri" w:cs="Arial"/>
          <w:i/>
          <w:iCs/>
          <w:color w:val="000000"/>
          <w:szCs w:val="24"/>
        </w:rPr>
      </w:pPr>
      <w:r w:rsidRPr="00264460">
        <w:rPr>
          <w:rFonts w:eastAsia="Calibri" w:cs="Arial"/>
          <w:i/>
          <w:iCs/>
          <w:color w:val="000000"/>
          <w:szCs w:val="24"/>
        </w:rPr>
        <w:t>Planning Policy</w:t>
      </w:r>
    </w:p>
    <w:p w14:paraId="03FAC29D" w14:textId="77777777" w:rsidR="00264460" w:rsidRPr="00264460" w:rsidRDefault="00264460" w:rsidP="00BB24B3">
      <w:pPr>
        <w:numPr>
          <w:ilvl w:val="0"/>
          <w:numId w:val="22"/>
        </w:numPr>
        <w:suppressAutoHyphens/>
        <w:autoSpaceDN w:val="0"/>
        <w:spacing w:after="160" w:line="242" w:lineRule="auto"/>
        <w:contextualSpacing/>
        <w:rPr>
          <w:rFonts w:eastAsia="Calibri" w:cs="Arial"/>
          <w:color w:val="000000"/>
          <w:szCs w:val="24"/>
        </w:rPr>
      </w:pPr>
      <w:r w:rsidRPr="00264460">
        <w:rPr>
          <w:rFonts w:eastAsia="Calibri" w:cs="Arial"/>
          <w:color w:val="000000"/>
          <w:szCs w:val="24"/>
        </w:rPr>
        <w:t>The need to protect and enhance the existing scale of facility provision for key facility types – pools, sports, halls, artificial and natural turf playing pitches, gymnastics centres and health and fitness facilities - remains similar to the findings of the Indoor Sports Facility Strategy in 2018 and the Outdoor Sports Strategy Background paper of 2012.</w:t>
      </w:r>
    </w:p>
    <w:p w14:paraId="4608A4B3" w14:textId="77777777" w:rsidR="00264460" w:rsidRPr="00264460" w:rsidRDefault="00264460" w:rsidP="00BB24B3">
      <w:pPr>
        <w:suppressAutoHyphens/>
        <w:autoSpaceDN w:val="0"/>
        <w:spacing w:line="242" w:lineRule="auto"/>
        <w:rPr>
          <w:rFonts w:eastAsia="Calibri" w:cs="Arial"/>
          <w:color w:val="000000"/>
          <w:szCs w:val="24"/>
        </w:rPr>
      </w:pPr>
    </w:p>
    <w:p w14:paraId="54A3528C" w14:textId="77777777" w:rsidR="00264460" w:rsidRPr="00264460" w:rsidRDefault="00264460" w:rsidP="00BB24B3">
      <w:pPr>
        <w:numPr>
          <w:ilvl w:val="0"/>
          <w:numId w:val="22"/>
        </w:numPr>
        <w:suppressAutoHyphens/>
        <w:autoSpaceDN w:val="0"/>
        <w:spacing w:after="160" w:line="242" w:lineRule="auto"/>
        <w:contextualSpacing/>
        <w:rPr>
          <w:rFonts w:eastAsia="Calibri" w:cs="Arial"/>
          <w:color w:val="000000"/>
          <w:szCs w:val="24"/>
        </w:rPr>
      </w:pPr>
      <w:r w:rsidRPr="00264460">
        <w:rPr>
          <w:rFonts w:eastAsia="Calibri" w:cs="Arial"/>
          <w:color w:val="000000"/>
          <w:szCs w:val="24"/>
        </w:rPr>
        <w:t>Given the evidence presented, the principles established in the current Local Plan Policies with respect to community, sport and recreation facilities – i.e. DM46 (re: new provision), DM47(re: retention of existing provision) and DM48 (re: enhancing outdoor facilities) - need to be maintained.</w:t>
      </w:r>
    </w:p>
    <w:p w14:paraId="18A2B7CD" w14:textId="77777777" w:rsidR="00264460" w:rsidRPr="00264460" w:rsidRDefault="00264460" w:rsidP="00BB24B3">
      <w:pPr>
        <w:suppressAutoHyphens/>
        <w:autoSpaceDN w:val="0"/>
        <w:spacing w:line="242" w:lineRule="auto"/>
        <w:rPr>
          <w:rFonts w:eastAsia="Calibri" w:cs="Arial"/>
          <w:color w:val="000000"/>
          <w:szCs w:val="24"/>
        </w:rPr>
      </w:pPr>
    </w:p>
    <w:p w14:paraId="3571FF60" w14:textId="77777777" w:rsidR="00264460" w:rsidRPr="00264460" w:rsidRDefault="00264460" w:rsidP="00BB24B3">
      <w:pPr>
        <w:numPr>
          <w:ilvl w:val="0"/>
          <w:numId w:val="21"/>
        </w:numPr>
        <w:suppressAutoHyphens/>
        <w:autoSpaceDN w:val="0"/>
        <w:spacing w:after="160" w:line="242" w:lineRule="auto"/>
        <w:contextualSpacing/>
        <w:rPr>
          <w:rFonts w:eastAsia="Calibri" w:cs="Arial"/>
          <w:i/>
          <w:iCs/>
          <w:color w:val="000000"/>
          <w:szCs w:val="24"/>
        </w:rPr>
      </w:pPr>
      <w:r w:rsidRPr="00264460">
        <w:rPr>
          <w:rFonts w:eastAsia="Calibri" w:cs="Arial"/>
          <w:i/>
          <w:iCs/>
          <w:color w:val="000000"/>
          <w:szCs w:val="24"/>
        </w:rPr>
        <w:t>Protect</w:t>
      </w:r>
    </w:p>
    <w:p w14:paraId="715EDFC9" w14:textId="77777777" w:rsidR="00264460" w:rsidRPr="00264460" w:rsidRDefault="00264460" w:rsidP="00BB24B3">
      <w:pPr>
        <w:numPr>
          <w:ilvl w:val="0"/>
          <w:numId w:val="23"/>
        </w:numPr>
        <w:suppressAutoHyphens/>
        <w:autoSpaceDN w:val="0"/>
        <w:spacing w:after="160" w:line="242" w:lineRule="auto"/>
        <w:contextualSpacing/>
        <w:rPr>
          <w:rFonts w:eastAsia="Calibri" w:cs="Arial"/>
          <w:color w:val="000000"/>
          <w:szCs w:val="24"/>
        </w:rPr>
      </w:pPr>
      <w:r w:rsidRPr="00264460">
        <w:rPr>
          <w:rFonts w:eastAsia="Calibri" w:cs="Arial"/>
          <w:color w:val="000000"/>
          <w:szCs w:val="24"/>
        </w:rPr>
        <w:t xml:space="preserve">The firm conclusion of the Strategy is that there is an identified need to retain the existing overall quantity of sports facilities within the borough whilst recognising that the distribution of facilities may change (for </w:t>
      </w:r>
      <w:r w:rsidRPr="00264460">
        <w:rPr>
          <w:rFonts w:eastAsia="Calibri" w:cs="Arial"/>
          <w:color w:val="000000"/>
          <w:szCs w:val="24"/>
        </w:rPr>
        <w:lastRenderedPageBreak/>
        <w:t xml:space="preserve">example, through closure of sites of poor quality or of limited value for community sport offset by new provision). </w:t>
      </w:r>
    </w:p>
    <w:p w14:paraId="5FBC2105" w14:textId="77777777" w:rsidR="00264460" w:rsidRPr="00264460" w:rsidRDefault="00264460" w:rsidP="00BB24B3">
      <w:pPr>
        <w:suppressAutoHyphens/>
        <w:autoSpaceDN w:val="0"/>
        <w:spacing w:line="242" w:lineRule="auto"/>
        <w:rPr>
          <w:rFonts w:eastAsia="Calibri" w:cs="Arial"/>
          <w:color w:val="000000"/>
          <w:szCs w:val="24"/>
        </w:rPr>
      </w:pPr>
    </w:p>
    <w:p w14:paraId="4F4BB886" w14:textId="77777777" w:rsidR="00264460" w:rsidRPr="00264460" w:rsidRDefault="00264460" w:rsidP="00BB24B3">
      <w:pPr>
        <w:numPr>
          <w:ilvl w:val="0"/>
          <w:numId w:val="23"/>
        </w:numPr>
        <w:suppressAutoHyphens/>
        <w:autoSpaceDN w:val="0"/>
        <w:spacing w:after="160" w:line="242" w:lineRule="auto"/>
        <w:contextualSpacing/>
        <w:rPr>
          <w:rFonts w:eastAsia="Calibri" w:cs="Arial"/>
          <w:color w:val="000000"/>
          <w:szCs w:val="24"/>
        </w:rPr>
      </w:pPr>
      <w:r w:rsidRPr="00264460">
        <w:rPr>
          <w:rFonts w:eastAsia="Calibri" w:cs="Arial"/>
          <w:color w:val="000000"/>
          <w:szCs w:val="24"/>
        </w:rPr>
        <w:t>It is therefore recommended that the broad approach and principles established in existing policies in respect of the protection of existing provision be carried forward into the new Local Plan. Specifically, the new Local Plan should establish a policy framework to resist granting planning permission for any development which would lead to the loss, or would prejudice the use, of a sports facility unless:</w:t>
      </w:r>
    </w:p>
    <w:p w14:paraId="26F2C240" w14:textId="77777777" w:rsidR="00264460" w:rsidRPr="00264460" w:rsidRDefault="00264460" w:rsidP="00BB24B3">
      <w:pPr>
        <w:suppressAutoHyphens/>
        <w:autoSpaceDN w:val="0"/>
        <w:spacing w:line="242" w:lineRule="auto"/>
        <w:rPr>
          <w:rFonts w:eastAsia="Calibri" w:cs="Arial"/>
          <w:color w:val="000000"/>
          <w:szCs w:val="24"/>
        </w:rPr>
      </w:pPr>
    </w:p>
    <w:p w14:paraId="4A12D55C" w14:textId="77777777" w:rsidR="00264460" w:rsidRPr="00264460" w:rsidRDefault="00264460" w:rsidP="00BB24B3">
      <w:pPr>
        <w:numPr>
          <w:ilvl w:val="2"/>
          <w:numId w:val="20"/>
        </w:numPr>
        <w:suppressAutoHyphens/>
        <w:autoSpaceDN w:val="0"/>
        <w:spacing w:after="160" w:line="242" w:lineRule="auto"/>
        <w:contextualSpacing/>
        <w:rPr>
          <w:rFonts w:eastAsia="Calibri" w:cs="Arial"/>
          <w:color w:val="000000"/>
          <w:szCs w:val="24"/>
        </w:rPr>
      </w:pPr>
      <w:r w:rsidRPr="00264460">
        <w:rPr>
          <w:rFonts w:eastAsia="Calibri" w:cs="Arial"/>
          <w:color w:val="000000"/>
          <w:szCs w:val="24"/>
        </w:rPr>
        <w:t>The loss resulting from the proposed development would be replaced by equivalent or better provision for that specific sport(s) in terms of quantity and quality in a suitable location.</w:t>
      </w:r>
    </w:p>
    <w:p w14:paraId="4F900888" w14:textId="77777777" w:rsidR="00264460" w:rsidRPr="00264460" w:rsidRDefault="00264460" w:rsidP="00BB24B3">
      <w:pPr>
        <w:suppressAutoHyphens/>
        <w:autoSpaceDN w:val="0"/>
        <w:spacing w:line="242" w:lineRule="auto"/>
        <w:ind w:left="709"/>
        <w:contextualSpacing/>
        <w:rPr>
          <w:rFonts w:eastAsia="Calibri" w:cs="Arial"/>
          <w:color w:val="000000"/>
          <w:szCs w:val="24"/>
        </w:rPr>
      </w:pPr>
    </w:p>
    <w:p w14:paraId="63A428A3" w14:textId="77777777" w:rsidR="00264460" w:rsidRPr="00264460" w:rsidRDefault="00264460" w:rsidP="00BB24B3">
      <w:pPr>
        <w:numPr>
          <w:ilvl w:val="0"/>
          <w:numId w:val="24"/>
        </w:numPr>
        <w:suppressAutoHyphens/>
        <w:autoSpaceDN w:val="0"/>
        <w:spacing w:after="160" w:line="242" w:lineRule="auto"/>
        <w:contextualSpacing/>
        <w:rPr>
          <w:rFonts w:eastAsia="Calibri" w:cs="Arial"/>
          <w:color w:val="000000"/>
          <w:szCs w:val="24"/>
        </w:rPr>
      </w:pPr>
      <w:r w:rsidRPr="00264460">
        <w:rPr>
          <w:rFonts w:eastAsia="Calibri" w:cs="Arial"/>
          <w:color w:val="000000"/>
          <w:szCs w:val="24"/>
        </w:rPr>
        <w:t>It is also recommended that the Council continue to work with strategic sports partners (Sport England and the National Governing Bodies of sport) to seek agreements to secure access for community sport at those sites in the borough where there is existing access, but long-term access is currently unsecured.</w:t>
      </w:r>
    </w:p>
    <w:p w14:paraId="2BB7F040" w14:textId="77777777" w:rsidR="00264460" w:rsidRPr="00264460" w:rsidRDefault="00264460" w:rsidP="00BB24B3">
      <w:pPr>
        <w:suppressAutoHyphens/>
        <w:autoSpaceDN w:val="0"/>
        <w:spacing w:line="242" w:lineRule="auto"/>
        <w:rPr>
          <w:rFonts w:eastAsia="Calibri" w:cs="Arial"/>
          <w:color w:val="000000"/>
          <w:szCs w:val="24"/>
        </w:rPr>
      </w:pPr>
    </w:p>
    <w:p w14:paraId="4A888477" w14:textId="77777777" w:rsidR="00264460" w:rsidRPr="00264460" w:rsidRDefault="00264460" w:rsidP="00BB24B3">
      <w:pPr>
        <w:numPr>
          <w:ilvl w:val="0"/>
          <w:numId w:val="24"/>
        </w:numPr>
        <w:suppressAutoHyphens/>
        <w:autoSpaceDN w:val="0"/>
        <w:spacing w:after="160" w:line="242" w:lineRule="auto"/>
        <w:contextualSpacing/>
        <w:rPr>
          <w:rFonts w:eastAsia="Calibri" w:cs="Arial"/>
          <w:szCs w:val="24"/>
        </w:rPr>
      </w:pPr>
      <w:r w:rsidRPr="00264460">
        <w:rPr>
          <w:rFonts w:eastAsia="Calibri" w:cs="Arial"/>
          <w:szCs w:val="24"/>
        </w:rPr>
        <w:t>It is recommended the Council continue to seek to influence the design and specification of any new education sports facilities and extensions to existing facilities to ensure their suitability for both education and community use (i.e., provided to Sport England and/or the relevant sport’s national governing body design dimensions and standards as opposed to education dimensions and standards).</w:t>
      </w:r>
    </w:p>
    <w:p w14:paraId="724EB26D" w14:textId="77777777" w:rsidR="00264460" w:rsidRPr="00264460" w:rsidRDefault="00264460" w:rsidP="00BB24B3">
      <w:pPr>
        <w:suppressAutoHyphens/>
        <w:autoSpaceDN w:val="0"/>
        <w:spacing w:line="242" w:lineRule="auto"/>
        <w:rPr>
          <w:rFonts w:eastAsia="Calibri" w:cs="Arial"/>
          <w:szCs w:val="24"/>
        </w:rPr>
      </w:pPr>
    </w:p>
    <w:p w14:paraId="502000B3" w14:textId="77777777" w:rsidR="00264460" w:rsidRPr="00264460" w:rsidRDefault="00264460" w:rsidP="00BB24B3">
      <w:pPr>
        <w:numPr>
          <w:ilvl w:val="0"/>
          <w:numId w:val="24"/>
        </w:numPr>
        <w:suppressAutoHyphens/>
        <w:autoSpaceDN w:val="0"/>
        <w:spacing w:after="160" w:line="242" w:lineRule="auto"/>
        <w:contextualSpacing/>
        <w:rPr>
          <w:rFonts w:eastAsia="Calibri" w:cs="Arial"/>
          <w:szCs w:val="24"/>
        </w:rPr>
      </w:pPr>
      <w:r w:rsidRPr="00264460">
        <w:rPr>
          <w:rFonts w:eastAsia="Calibri" w:cs="Arial"/>
          <w:szCs w:val="24"/>
        </w:rPr>
        <w:t xml:space="preserve">It is further recommended that the Council negotiates secure affordable community access as a condition of planning consent (via formal Community Use Agreements) for applications from education providers. </w:t>
      </w:r>
    </w:p>
    <w:p w14:paraId="76C7ABAA" w14:textId="77777777" w:rsidR="00264460" w:rsidRPr="00264460" w:rsidRDefault="00264460" w:rsidP="00BB24B3">
      <w:pPr>
        <w:suppressAutoHyphens/>
        <w:autoSpaceDN w:val="0"/>
        <w:spacing w:line="242" w:lineRule="auto"/>
        <w:rPr>
          <w:rFonts w:eastAsia="Calibri" w:cs="Arial"/>
          <w:color w:val="0070C0"/>
          <w:szCs w:val="24"/>
        </w:rPr>
      </w:pPr>
    </w:p>
    <w:p w14:paraId="65119463" w14:textId="77777777" w:rsidR="00264460" w:rsidRPr="00264460" w:rsidRDefault="00264460" w:rsidP="00BB24B3">
      <w:pPr>
        <w:numPr>
          <w:ilvl w:val="0"/>
          <w:numId w:val="21"/>
        </w:numPr>
        <w:suppressAutoHyphens/>
        <w:autoSpaceDN w:val="0"/>
        <w:spacing w:after="160" w:line="242" w:lineRule="auto"/>
        <w:contextualSpacing/>
        <w:rPr>
          <w:rFonts w:eastAsia="Calibri" w:cs="Arial"/>
          <w:i/>
          <w:iCs/>
          <w:szCs w:val="24"/>
        </w:rPr>
      </w:pPr>
      <w:r w:rsidRPr="00264460">
        <w:rPr>
          <w:rFonts w:eastAsia="Calibri" w:cs="Arial"/>
          <w:i/>
          <w:iCs/>
          <w:szCs w:val="24"/>
        </w:rPr>
        <w:t>Enhance and Provide</w:t>
      </w:r>
    </w:p>
    <w:p w14:paraId="6E768F13" w14:textId="77777777" w:rsidR="00264460" w:rsidRPr="00264460" w:rsidRDefault="00264460" w:rsidP="00BB24B3">
      <w:pPr>
        <w:numPr>
          <w:ilvl w:val="0"/>
          <w:numId w:val="25"/>
        </w:numPr>
        <w:suppressAutoHyphens/>
        <w:autoSpaceDN w:val="0"/>
        <w:spacing w:after="160" w:line="242" w:lineRule="auto"/>
        <w:contextualSpacing/>
        <w:rPr>
          <w:rFonts w:eastAsia="Calibri" w:cs="Arial"/>
          <w:szCs w:val="24"/>
        </w:rPr>
      </w:pPr>
      <w:r w:rsidRPr="00264460">
        <w:rPr>
          <w:rFonts w:eastAsia="Calibri" w:cs="Arial"/>
          <w:szCs w:val="24"/>
        </w:rPr>
        <w:t xml:space="preserve">It is recommended that the Local Planning Authority continue to seek the advice of appropriate sport national governing bodies whenever pre-planning proposals or planning applications involving new sports facilities are brought forward or new S106 Agreements for sports facilities are drafted. </w:t>
      </w:r>
    </w:p>
    <w:p w14:paraId="555BC86F" w14:textId="21E418C2" w:rsidR="00264460" w:rsidRDefault="00264460" w:rsidP="00BB24B3">
      <w:pPr>
        <w:numPr>
          <w:ilvl w:val="0"/>
          <w:numId w:val="25"/>
        </w:numPr>
        <w:suppressAutoHyphens/>
        <w:autoSpaceDN w:val="0"/>
        <w:spacing w:after="160" w:line="242" w:lineRule="auto"/>
        <w:contextualSpacing/>
        <w:rPr>
          <w:rFonts w:eastAsia="Calibri" w:cs="Arial"/>
          <w:szCs w:val="24"/>
        </w:rPr>
      </w:pPr>
      <w:r w:rsidRPr="00264460">
        <w:rPr>
          <w:rFonts w:eastAsia="Calibri" w:cs="Arial"/>
          <w:szCs w:val="24"/>
        </w:rPr>
        <w:t>Harrow has a number of multi-sport sites which serve a wide range of sport and activity. The Playing Pitch Strategy process of consultation and analysis has highlighted a number of important improvements and potential investment needs across these sites for outdoor sport. Taking a holistic approach for all sports on site could help secure more funding or open up opportunities for more funding that could benefit a range of sports. However, the co-ordination of these opportunities (alongside the National Governing Bodies and resident sports clubs) with indoor and built facilities will remain a key priority for the Council. Whilst the specific actions and timings are dealt with in the action plan given the importance of these sites to the leading sports within the overall Indoor and Outdoor Strategy</w:t>
      </w:r>
      <w:r w:rsidR="009F75CA">
        <w:rPr>
          <w:rFonts w:eastAsia="Calibri" w:cs="Arial"/>
          <w:szCs w:val="24"/>
        </w:rPr>
        <w:t>,</w:t>
      </w:r>
      <w:r w:rsidRPr="00264460">
        <w:rPr>
          <w:rFonts w:eastAsia="Calibri" w:cs="Arial"/>
          <w:szCs w:val="24"/>
        </w:rPr>
        <w:t xml:space="preserve"> opportunities to provide a more diverse and wider reaching range of facilities for sport and physical activity on current sites will be pursued by the Council.</w:t>
      </w:r>
    </w:p>
    <w:p w14:paraId="5A091B28" w14:textId="77777777" w:rsidR="00F75E5C" w:rsidRDefault="00F75E5C" w:rsidP="00BB24B3">
      <w:pPr>
        <w:suppressAutoHyphens/>
        <w:autoSpaceDN w:val="0"/>
        <w:spacing w:after="160" w:line="242" w:lineRule="auto"/>
        <w:contextualSpacing/>
        <w:rPr>
          <w:rFonts w:eastAsia="Calibri" w:cs="Arial"/>
          <w:szCs w:val="24"/>
        </w:rPr>
      </w:pPr>
    </w:p>
    <w:p w14:paraId="0D5FEEA2" w14:textId="150F2208" w:rsidR="00F75E5C" w:rsidRPr="00F75E5C" w:rsidRDefault="00F75E5C" w:rsidP="00BB24B3">
      <w:pPr>
        <w:suppressAutoHyphens/>
        <w:autoSpaceDN w:val="0"/>
        <w:spacing w:after="160" w:line="242" w:lineRule="auto"/>
        <w:contextualSpacing/>
        <w:rPr>
          <w:rFonts w:eastAsia="Calibri" w:cs="Arial"/>
          <w:color w:val="000000"/>
          <w:szCs w:val="24"/>
        </w:rPr>
      </w:pPr>
      <w:r>
        <w:rPr>
          <w:rFonts w:eastAsia="Calibri" w:cs="Arial"/>
          <w:color w:val="000000"/>
          <w:szCs w:val="24"/>
        </w:rPr>
        <w:t xml:space="preserve">5.2 </w:t>
      </w:r>
      <w:r w:rsidR="00271D94">
        <w:rPr>
          <w:rFonts w:eastAsia="Calibri" w:cs="Arial"/>
          <w:color w:val="000000"/>
          <w:szCs w:val="24"/>
        </w:rPr>
        <w:t xml:space="preserve">As detailed in Section 2 </w:t>
      </w:r>
      <w:r w:rsidR="00640A22">
        <w:rPr>
          <w:rFonts w:eastAsia="Calibri" w:cs="Arial"/>
          <w:color w:val="000000"/>
          <w:szCs w:val="24"/>
        </w:rPr>
        <w:t>(part 1)</w:t>
      </w:r>
      <w:r w:rsidR="0041406A">
        <w:rPr>
          <w:rFonts w:eastAsia="Calibri" w:cs="Arial"/>
          <w:color w:val="000000"/>
          <w:szCs w:val="24"/>
        </w:rPr>
        <w:t>, Playing Pitch Strategy, t</w:t>
      </w:r>
      <w:r w:rsidRPr="00F75E5C">
        <w:rPr>
          <w:rFonts w:eastAsia="Calibri" w:cs="Arial"/>
          <w:color w:val="000000"/>
          <w:szCs w:val="24"/>
        </w:rPr>
        <w:t>o meet forecast future needs to 2037, it is recommended that the following new provision should be considered subject to the availability of suitable space and feasibility assessment:</w:t>
      </w:r>
    </w:p>
    <w:p w14:paraId="345277E5" w14:textId="77777777" w:rsidR="00F75E5C" w:rsidRPr="00F75E5C" w:rsidRDefault="00F75E5C" w:rsidP="00F75E5C">
      <w:pPr>
        <w:numPr>
          <w:ilvl w:val="2"/>
          <w:numId w:val="20"/>
        </w:numPr>
        <w:suppressAutoHyphens/>
        <w:autoSpaceDN w:val="0"/>
        <w:spacing w:after="160" w:line="242" w:lineRule="auto"/>
        <w:contextualSpacing/>
        <w:jc w:val="both"/>
        <w:rPr>
          <w:rFonts w:eastAsia="Calibri" w:cs="Arial"/>
          <w:color w:val="000000"/>
          <w:szCs w:val="24"/>
        </w:rPr>
      </w:pPr>
      <w:r w:rsidRPr="00F75E5C">
        <w:rPr>
          <w:rFonts w:eastAsia="Calibri" w:cs="Arial"/>
          <w:color w:val="000000"/>
          <w:szCs w:val="24"/>
        </w:rPr>
        <w:t>Up to three new fine turf cricket pitches (the need is greatest in the southwest of the borough)</w:t>
      </w:r>
    </w:p>
    <w:p w14:paraId="5ACE6B20" w14:textId="77777777" w:rsidR="00F75E5C" w:rsidRPr="00F75E5C" w:rsidRDefault="00F75E5C" w:rsidP="00F75E5C">
      <w:pPr>
        <w:suppressAutoHyphens/>
        <w:autoSpaceDN w:val="0"/>
        <w:spacing w:line="242" w:lineRule="auto"/>
        <w:ind w:left="709"/>
        <w:contextualSpacing/>
        <w:jc w:val="both"/>
        <w:rPr>
          <w:rFonts w:eastAsia="Calibri" w:cs="Arial"/>
          <w:color w:val="000000"/>
          <w:szCs w:val="24"/>
        </w:rPr>
      </w:pPr>
    </w:p>
    <w:p w14:paraId="3BF089C9" w14:textId="77777777" w:rsidR="00F75E5C" w:rsidRPr="00F75E5C" w:rsidRDefault="00F75E5C" w:rsidP="00F75E5C">
      <w:pPr>
        <w:numPr>
          <w:ilvl w:val="2"/>
          <w:numId w:val="20"/>
        </w:numPr>
        <w:suppressAutoHyphens/>
        <w:autoSpaceDN w:val="0"/>
        <w:spacing w:after="160" w:line="242" w:lineRule="auto"/>
        <w:contextualSpacing/>
        <w:jc w:val="both"/>
        <w:rPr>
          <w:rFonts w:eastAsia="Calibri" w:cs="Arial"/>
          <w:color w:val="000000"/>
          <w:szCs w:val="24"/>
        </w:rPr>
      </w:pPr>
      <w:r w:rsidRPr="00F75E5C">
        <w:rPr>
          <w:rFonts w:eastAsia="Calibri" w:cs="Arial"/>
          <w:color w:val="000000"/>
          <w:szCs w:val="24"/>
        </w:rPr>
        <w:t>New provision of two football pitches at Bannister Sports Centre</w:t>
      </w:r>
    </w:p>
    <w:p w14:paraId="15E2B1B9" w14:textId="77777777" w:rsidR="00F75E5C" w:rsidRPr="00F75E5C" w:rsidRDefault="00F75E5C" w:rsidP="00F75E5C">
      <w:pPr>
        <w:suppressAutoHyphens/>
        <w:autoSpaceDN w:val="0"/>
        <w:spacing w:line="242" w:lineRule="auto"/>
        <w:ind w:left="709"/>
        <w:contextualSpacing/>
        <w:jc w:val="both"/>
        <w:rPr>
          <w:rFonts w:eastAsia="Calibri" w:cs="Arial"/>
          <w:color w:val="000000"/>
          <w:szCs w:val="24"/>
        </w:rPr>
      </w:pPr>
    </w:p>
    <w:p w14:paraId="34C8C78C" w14:textId="77777777" w:rsidR="00F75E5C" w:rsidRPr="00F75E5C" w:rsidRDefault="00F75E5C" w:rsidP="00F75E5C">
      <w:pPr>
        <w:numPr>
          <w:ilvl w:val="2"/>
          <w:numId w:val="20"/>
        </w:numPr>
        <w:suppressAutoHyphens/>
        <w:autoSpaceDN w:val="0"/>
        <w:spacing w:after="160" w:line="242" w:lineRule="auto"/>
        <w:contextualSpacing/>
        <w:jc w:val="both"/>
        <w:rPr>
          <w:rFonts w:eastAsia="Calibri" w:cs="Arial"/>
          <w:color w:val="000000"/>
          <w:szCs w:val="24"/>
        </w:rPr>
      </w:pPr>
      <w:r w:rsidRPr="00F75E5C">
        <w:rPr>
          <w:rFonts w:eastAsia="Calibri" w:cs="Arial"/>
          <w:color w:val="000000"/>
          <w:szCs w:val="24"/>
        </w:rPr>
        <w:t>New provision of changing pavilions for winter playing pitch sports at Saddlers Mead Open Space</w:t>
      </w:r>
    </w:p>
    <w:p w14:paraId="159C0853" w14:textId="77777777" w:rsidR="00F75E5C" w:rsidRPr="00F75E5C" w:rsidRDefault="00F75E5C" w:rsidP="00F75E5C">
      <w:pPr>
        <w:suppressAutoHyphens/>
        <w:autoSpaceDN w:val="0"/>
        <w:spacing w:line="242" w:lineRule="auto"/>
        <w:ind w:left="709"/>
        <w:contextualSpacing/>
        <w:jc w:val="both"/>
        <w:rPr>
          <w:rFonts w:eastAsia="Calibri" w:cs="Arial"/>
          <w:color w:val="000000"/>
          <w:szCs w:val="24"/>
        </w:rPr>
      </w:pPr>
    </w:p>
    <w:p w14:paraId="1DF8100D" w14:textId="77777777" w:rsidR="00F75E5C" w:rsidRPr="00F75E5C" w:rsidRDefault="00F75E5C" w:rsidP="00F75E5C">
      <w:pPr>
        <w:numPr>
          <w:ilvl w:val="2"/>
          <w:numId w:val="20"/>
        </w:numPr>
        <w:suppressAutoHyphens/>
        <w:autoSpaceDN w:val="0"/>
        <w:spacing w:after="160" w:line="242" w:lineRule="auto"/>
        <w:contextualSpacing/>
        <w:jc w:val="both"/>
        <w:rPr>
          <w:rFonts w:eastAsia="Calibri" w:cs="Arial"/>
          <w:color w:val="000000"/>
          <w:szCs w:val="24"/>
        </w:rPr>
      </w:pPr>
      <w:r w:rsidRPr="00F75E5C">
        <w:rPr>
          <w:rFonts w:eastAsia="Calibri" w:cs="Arial"/>
          <w:color w:val="000000"/>
          <w:szCs w:val="24"/>
        </w:rPr>
        <w:t>New provision of changing pavilion close to ATP at Orley Farm School</w:t>
      </w:r>
    </w:p>
    <w:p w14:paraId="508C8987" w14:textId="77777777" w:rsidR="00F75E5C" w:rsidRPr="00F75E5C" w:rsidRDefault="00F75E5C" w:rsidP="00F75E5C">
      <w:pPr>
        <w:suppressAutoHyphens/>
        <w:autoSpaceDN w:val="0"/>
        <w:spacing w:line="242" w:lineRule="auto"/>
        <w:ind w:left="709"/>
        <w:contextualSpacing/>
        <w:jc w:val="both"/>
        <w:rPr>
          <w:rFonts w:eastAsia="Calibri" w:cs="Arial"/>
          <w:color w:val="000000"/>
          <w:szCs w:val="24"/>
        </w:rPr>
      </w:pPr>
    </w:p>
    <w:p w14:paraId="3A84F2D5" w14:textId="77777777" w:rsidR="00F75E5C" w:rsidRPr="00F75E5C" w:rsidRDefault="00F75E5C" w:rsidP="00F75E5C">
      <w:pPr>
        <w:numPr>
          <w:ilvl w:val="2"/>
          <w:numId w:val="20"/>
        </w:numPr>
        <w:suppressAutoHyphens/>
        <w:autoSpaceDN w:val="0"/>
        <w:spacing w:after="160" w:line="242" w:lineRule="auto"/>
        <w:contextualSpacing/>
        <w:jc w:val="both"/>
        <w:rPr>
          <w:rFonts w:ascii="Calibri" w:eastAsia="Calibri" w:hAnsi="Calibri"/>
          <w:sz w:val="22"/>
          <w:szCs w:val="22"/>
        </w:rPr>
      </w:pPr>
      <w:r w:rsidRPr="00F75E5C">
        <w:rPr>
          <w:rFonts w:eastAsia="Calibri" w:cs="Arial"/>
          <w:color w:val="000000"/>
          <w:szCs w:val="24"/>
        </w:rPr>
        <w:t>New provision of a 3G ATP to World Rugby compliant specification at The Hive Football Complex.</w:t>
      </w:r>
    </w:p>
    <w:p w14:paraId="1964B9B6" w14:textId="77777777" w:rsidR="00F75E5C" w:rsidRPr="00F75E5C" w:rsidRDefault="00F75E5C" w:rsidP="00F75E5C">
      <w:pPr>
        <w:suppressAutoHyphens/>
        <w:autoSpaceDN w:val="0"/>
        <w:spacing w:after="160" w:line="242" w:lineRule="auto"/>
        <w:ind w:left="720"/>
        <w:contextualSpacing/>
        <w:rPr>
          <w:rFonts w:ascii="Calibri" w:eastAsia="Calibri" w:hAnsi="Calibri"/>
          <w:sz w:val="22"/>
          <w:szCs w:val="22"/>
        </w:rPr>
      </w:pPr>
    </w:p>
    <w:p w14:paraId="483536E9" w14:textId="77777777" w:rsidR="00F75E5C" w:rsidRPr="00F75E5C" w:rsidRDefault="00F75E5C" w:rsidP="00F75E5C">
      <w:pPr>
        <w:numPr>
          <w:ilvl w:val="2"/>
          <w:numId w:val="20"/>
        </w:numPr>
        <w:suppressAutoHyphens/>
        <w:autoSpaceDN w:val="0"/>
        <w:spacing w:after="160" w:line="242" w:lineRule="auto"/>
        <w:contextualSpacing/>
        <w:jc w:val="both"/>
        <w:rPr>
          <w:rFonts w:ascii="Calibri" w:eastAsia="Calibri" w:hAnsi="Calibri"/>
          <w:sz w:val="22"/>
          <w:szCs w:val="22"/>
        </w:rPr>
      </w:pPr>
      <w:r w:rsidRPr="00F75E5C">
        <w:rPr>
          <w:rFonts w:eastAsia="Calibri" w:cs="Arial"/>
          <w:szCs w:val="24"/>
        </w:rPr>
        <w:t>New provision of 2 additional 3G ATPs should Whitmore High School/Avanti House be unable to register their 3G ATPs or are unavailable for FA match play.</w:t>
      </w:r>
    </w:p>
    <w:p w14:paraId="4BD3BC49" w14:textId="3E66EB5C" w:rsidR="00F75E5C" w:rsidRDefault="00F75E5C" w:rsidP="00F75E5C">
      <w:pPr>
        <w:suppressAutoHyphens/>
        <w:autoSpaceDN w:val="0"/>
        <w:spacing w:after="160" w:line="242" w:lineRule="auto"/>
        <w:contextualSpacing/>
        <w:jc w:val="both"/>
        <w:rPr>
          <w:rFonts w:eastAsia="Calibri" w:cs="Arial"/>
          <w:szCs w:val="24"/>
        </w:rPr>
      </w:pPr>
    </w:p>
    <w:p w14:paraId="71F9A3CC" w14:textId="62EB2637" w:rsidR="0044213A" w:rsidRDefault="0041406A" w:rsidP="0044213A">
      <w:pPr>
        <w:pStyle w:val="ListParagraph"/>
        <w:numPr>
          <w:ilvl w:val="0"/>
          <w:numId w:val="5"/>
        </w:numPr>
        <w:suppressAutoHyphens/>
        <w:autoSpaceDN w:val="0"/>
        <w:spacing w:line="247" w:lineRule="auto"/>
        <w:ind w:left="171" w:right="141" w:hanging="171"/>
        <w:rPr>
          <w:szCs w:val="24"/>
          <w:lang w:val="en-US"/>
        </w:rPr>
      </w:pPr>
      <w:r>
        <w:rPr>
          <w:rFonts w:eastAsia="Calibri" w:cs="Arial"/>
          <w:szCs w:val="24"/>
        </w:rPr>
        <w:t xml:space="preserve">5.3 </w:t>
      </w:r>
      <w:r w:rsidR="00C52D8A">
        <w:rPr>
          <w:rFonts w:eastAsia="Calibri" w:cs="Arial"/>
          <w:szCs w:val="24"/>
        </w:rPr>
        <w:t xml:space="preserve">The Action Plan as detailed </w:t>
      </w:r>
      <w:r w:rsidR="00E73C15">
        <w:rPr>
          <w:rFonts w:eastAsia="Calibri" w:cs="Arial"/>
          <w:szCs w:val="24"/>
        </w:rPr>
        <w:t xml:space="preserve">at </w:t>
      </w:r>
      <w:r w:rsidR="0002436B" w:rsidRPr="0002436B">
        <w:rPr>
          <w:rFonts w:eastAsia="Calibri" w:cs="Arial"/>
          <w:szCs w:val="24"/>
        </w:rPr>
        <w:t>Figure 4.1 (Playing Pitches), and 4.2 (Built Facilities), pages 102-103</w:t>
      </w:r>
      <w:r w:rsidR="00D304E0">
        <w:rPr>
          <w:rFonts w:eastAsia="Calibri" w:cs="Arial"/>
          <w:szCs w:val="24"/>
        </w:rPr>
        <w:t xml:space="preserve"> of the </w:t>
      </w:r>
      <w:r w:rsidR="00141DFA">
        <w:rPr>
          <w:rFonts w:eastAsia="Calibri" w:cs="Arial"/>
          <w:szCs w:val="24"/>
        </w:rPr>
        <w:t xml:space="preserve">Harrow </w:t>
      </w:r>
      <w:r w:rsidR="0098238A">
        <w:rPr>
          <w:rFonts w:eastAsia="Calibri" w:cs="Arial"/>
          <w:szCs w:val="24"/>
        </w:rPr>
        <w:t>Indoor and Outdoor Sports Facilitie</w:t>
      </w:r>
      <w:r w:rsidR="00920101">
        <w:rPr>
          <w:rFonts w:eastAsia="Calibri" w:cs="Arial"/>
          <w:szCs w:val="24"/>
        </w:rPr>
        <w:t xml:space="preserve">s </w:t>
      </w:r>
      <w:r w:rsidR="00D304E0">
        <w:rPr>
          <w:rFonts w:eastAsia="Calibri" w:cs="Arial"/>
          <w:szCs w:val="24"/>
        </w:rPr>
        <w:t>Strategy (</w:t>
      </w:r>
      <w:r w:rsidR="00ED5BDD">
        <w:rPr>
          <w:rFonts w:eastAsia="Calibri" w:cs="Arial"/>
          <w:szCs w:val="24"/>
        </w:rPr>
        <w:t xml:space="preserve">That Strategy is in </w:t>
      </w:r>
      <w:r w:rsidR="00D304E0">
        <w:rPr>
          <w:rFonts w:eastAsia="Calibri" w:cs="Arial"/>
          <w:szCs w:val="24"/>
        </w:rPr>
        <w:t>Appendix 2</w:t>
      </w:r>
      <w:r w:rsidR="008C54E2">
        <w:rPr>
          <w:rFonts w:eastAsia="Calibri" w:cs="Arial"/>
          <w:szCs w:val="24"/>
        </w:rPr>
        <w:t xml:space="preserve"> of this report</w:t>
      </w:r>
      <w:r w:rsidR="00D304E0">
        <w:rPr>
          <w:rFonts w:eastAsia="Calibri" w:cs="Arial"/>
          <w:szCs w:val="24"/>
        </w:rPr>
        <w:t>)</w:t>
      </w:r>
      <w:r w:rsidR="0002436B" w:rsidRPr="0002436B">
        <w:rPr>
          <w:rFonts w:eastAsia="Calibri" w:cs="Arial"/>
          <w:szCs w:val="24"/>
        </w:rPr>
        <w:t>, presents the priority projects in alphabetical order. Further longer-term projects are listed in Appendix H, figures H1 and H2, pages 2-</w:t>
      </w:r>
      <w:r w:rsidR="001278A5">
        <w:rPr>
          <w:rFonts w:eastAsia="Calibri" w:cs="Arial"/>
          <w:szCs w:val="24"/>
        </w:rPr>
        <w:t>5</w:t>
      </w:r>
      <w:r w:rsidR="00D304E0">
        <w:rPr>
          <w:rFonts w:eastAsia="Calibri" w:cs="Arial"/>
          <w:szCs w:val="24"/>
        </w:rPr>
        <w:t xml:space="preserve"> of the </w:t>
      </w:r>
      <w:r w:rsidR="00141DFA">
        <w:rPr>
          <w:rFonts w:eastAsia="Calibri" w:cs="Arial"/>
          <w:szCs w:val="24"/>
        </w:rPr>
        <w:t xml:space="preserve">Harrow </w:t>
      </w:r>
      <w:r w:rsidR="00920101">
        <w:rPr>
          <w:rFonts w:eastAsia="Calibri" w:cs="Arial"/>
          <w:szCs w:val="24"/>
        </w:rPr>
        <w:t xml:space="preserve">Indoor and Outdoor Sports Facilities </w:t>
      </w:r>
      <w:r w:rsidR="00D304E0">
        <w:rPr>
          <w:rFonts w:eastAsia="Calibri" w:cs="Arial"/>
          <w:szCs w:val="24"/>
        </w:rPr>
        <w:t>Strategy (</w:t>
      </w:r>
      <w:r w:rsidR="00AF24B0">
        <w:rPr>
          <w:rFonts w:eastAsia="Calibri" w:cs="Arial"/>
          <w:szCs w:val="24"/>
        </w:rPr>
        <w:t xml:space="preserve">That Strategy is in </w:t>
      </w:r>
      <w:r w:rsidR="00D304E0">
        <w:rPr>
          <w:rFonts w:eastAsia="Calibri" w:cs="Arial"/>
          <w:szCs w:val="24"/>
        </w:rPr>
        <w:t>Appendix 2</w:t>
      </w:r>
      <w:r w:rsidR="008C54E2">
        <w:rPr>
          <w:rFonts w:eastAsia="Calibri" w:cs="Arial"/>
          <w:szCs w:val="24"/>
        </w:rPr>
        <w:t xml:space="preserve"> of this report</w:t>
      </w:r>
      <w:r w:rsidR="00D304E0">
        <w:rPr>
          <w:rFonts w:eastAsia="Calibri" w:cs="Arial"/>
          <w:szCs w:val="24"/>
        </w:rPr>
        <w:t>)</w:t>
      </w:r>
      <w:r w:rsidR="0002436B" w:rsidRPr="0002436B">
        <w:rPr>
          <w:rFonts w:eastAsia="Calibri" w:cs="Arial"/>
          <w:szCs w:val="24"/>
        </w:rPr>
        <w:t>. The action plan is a guide to how facilities might be developed, pending funding confirmation and planning permission where necessary, where and whom they might be developed by to meet identified demand, exploit opportunities that may arise and provide sustainable management and operational models often through engaging with either voluntary or commercial partners. Several project proposals within the strategy are subject to design and cost analysis and for some projects feasibility testing and options appraisals.</w:t>
      </w:r>
      <w:r w:rsidR="00071C22">
        <w:rPr>
          <w:rFonts w:eastAsia="Calibri" w:cs="Arial"/>
          <w:szCs w:val="24"/>
        </w:rPr>
        <w:t xml:space="preserve"> Sites included in the Action Plan </w:t>
      </w:r>
      <w:r w:rsidR="009B33C7">
        <w:rPr>
          <w:rFonts w:eastAsia="Calibri" w:cs="Arial"/>
          <w:szCs w:val="24"/>
        </w:rPr>
        <w:t xml:space="preserve">include educational sites, Council sites, </w:t>
      </w:r>
      <w:r w:rsidR="00E52CA2">
        <w:rPr>
          <w:rFonts w:eastAsia="Calibri" w:cs="Arial"/>
          <w:szCs w:val="24"/>
        </w:rPr>
        <w:t>parks, and private sites.</w:t>
      </w:r>
      <w:r w:rsidR="005E5DA1">
        <w:rPr>
          <w:rFonts w:eastAsia="Calibri" w:cs="Arial"/>
          <w:szCs w:val="24"/>
        </w:rPr>
        <w:t xml:space="preserve"> A Project Team will meet monthly to progress the delivery of the Action Plan</w:t>
      </w:r>
      <w:r w:rsidR="0044213A">
        <w:rPr>
          <w:rFonts w:eastAsia="Calibri" w:cs="Arial"/>
          <w:szCs w:val="24"/>
        </w:rPr>
        <w:t>.</w:t>
      </w:r>
      <w:r w:rsidR="005E5DA1">
        <w:rPr>
          <w:rFonts w:eastAsia="Calibri" w:cs="Arial"/>
          <w:szCs w:val="24"/>
        </w:rPr>
        <w:t xml:space="preserve"> </w:t>
      </w:r>
      <w:r w:rsidR="0044213A">
        <w:rPr>
          <w:szCs w:val="24"/>
          <w:lang w:val="en-US"/>
        </w:rPr>
        <w:t xml:space="preserve">The Project Team will be attended by relevant Council </w:t>
      </w:r>
      <w:r w:rsidR="001807F9">
        <w:rPr>
          <w:szCs w:val="24"/>
          <w:lang w:val="en-US"/>
        </w:rPr>
        <w:t>officers from the Place, People</w:t>
      </w:r>
      <w:r w:rsidR="00B874E3">
        <w:rPr>
          <w:szCs w:val="24"/>
          <w:lang w:val="en-US"/>
        </w:rPr>
        <w:t xml:space="preserve">, and Resources </w:t>
      </w:r>
      <w:r w:rsidR="0044213A">
        <w:rPr>
          <w:szCs w:val="24"/>
          <w:lang w:val="en-US"/>
        </w:rPr>
        <w:t>D</w:t>
      </w:r>
      <w:r w:rsidR="00B874E3">
        <w:rPr>
          <w:szCs w:val="24"/>
          <w:lang w:val="en-US"/>
        </w:rPr>
        <w:t xml:space="preserve">irectorates. </w:t>
      </w:r>
      <w:r w:rsidR="0044213A">
        <w:rPr>
          <w:szCs w:val="24"/>
          <w:lang w:val="en-US"/>
        </w:rPr>
        <w:t xml:space="preserve"> </w:t>
      </w:r>
    </w:p>
    <w:p w14:paraId="4F4EA312" w14:textId="77777777" w:rsidR="0002436B" w:rsidRPr="0002436B" w:rsidRDefault="0002436B" w:rsidP="0002436B">
      <w:pPr>
        <w:suppressAutoHyphens/>
        <w:autoSpaceDN w:val="0"/>
        <w:spacing w:line="242" w:lineRule="auto"/>
        <w:jc w:val="both"/>
        <w:rPr>
          <w:rFonts w:eastAsia="Calibri" w:cs="Arial"/>
          <w:szCs w:val="24"/>
        </w:rPr>
      </w:pPr>
    </w:p>
    <w:p w14:paraId="16D2BA8A" w14:textId="7F70EE74" w:rsidR="0002436B" w:rsidRPr="0002436B" w:rsidRDefault="008731E3" w:rsidP="00BB24B3">
      <w:pPr>
        <w:suppressAutoHyphens/>
        <w:autoSpaceDN w:val="0"/>
        <w:spacing w:line="242" w:lineRule="auto"/>
        <w:ind w:left="171"/>
        <w:rPr>
          <w:rFonts w:eastAsia="Calibri" w:cs="Arial"/>
          <w:szCs w:val="24"/>
        </w:rPr>
      </w:pPr>
      <w:r>
        <w:rPr>
          <w:rFonts w:eastAsia="Calibri" w:cs="Arial"/>
          <w:szCs w:val="24"/>
        </w:rPr>
        <w:t xml:space="preserve">5.4 </w:t>
      </w:r>
      <w:r w:rsidR="0002436B" w:rsidRPr="0002436B">
        <w:rPr>
          <w:rFonts w:eastAsia="Calibri" w:cs="Arial"/>
          <w:szCs w:val="24"/>
        </w:rPr>
        <w:t>The immediate priority for Harrow, as with many local authorities at the time of this strategy, is to protect and continue to maintain the current level of facilities to ensure no loss of provision during the current challenging time for local authorities. The current pressures on public sector budgets alongside increasing operational costs and capital costs (for maintenance and new facilities) means the London Borough of Harrow must plan prudently for future needs.</w:t>
      </w:r>
    </w:p>
    <w:p w14:paraId="2D4B012C" w14:textId="77777777" w:rsidR="0002436B" w:rsidRPr="0002436B" w:rsidRDefault="0002436B" w:rsidP="00BB24B3">
      <w:pPr>
        <w:suppressAutoHyphens/>
        <w:autoSpaceDN w:val="0"/>
        <w:spacing w:line="242" w:lineRule="auto"/>
        <w:rPr>
          <w:rFonts w:eastAsia="Calibri" w:cs="Arial"/>
          <w:szCs w:val="24"/>
        </w:rPr>
      </w:pPr>
    </w:p>
    <w:p w14:paraId="3178C1F0" w14:textId="78C59C61" w:rsidR="0002436B" w:rsidRPr="0002436B" w:rsidRDefault="008731E3" w:rsidP="00BB24B3">
      <w:pPr>
        <w:suppressAutoHyphens/>
        <w:autoSpaceDN w:val="0"/>
        <w:spacing w:line="242" w:lineRule="auto"/>
        <w:ind w:left="360"/>
        <w:rPr>
          <w:rFonts w:eastAsia="Calibri" w:cs="Arial"/>
          <w:szCs w:val="24"/>
        </w:rPr>
      </w:pPr>
      <w:r>
        <w:rPr>
          <w:rFonts w:eastAsia="Calibri" w:cs="Arial"/>
          <w:szCs w:val="24"/>
        </w:rPr>
        <w:lastRenderedPageBreak/>
        <w:t xml:space="preserve">5.5 </w:t>
      </w:r>
      <w:r w:rsidR="0002436B" w:rsidRPr="0002436B">
        <w:rPr>
          <w:rFonts w:eastAsia="Calibri" w:cs="Arial"/>
          <w:szCs w:val="24"/>
        </w:rPr>
        <w:t>The Council has a major project to consider in the future replacement of Harrow Leisure Centre subject to funding, as well as considering the longevity of Hatch End Swimming Pool. These two facilities will require considerable planning and development to ensure they can be delivered and provide the right facility mix for residents across the area.</w:t>
      </w:r>
    </w:p>
    <w:p w14:paraId="005F1AB7" w14:textId="77777777" w:rsidR="00D546B7" w:rsidRDefault="00D546B7" w:rsidP="00BB24B3">
      <w:pPr>
        <w:suppressAutoHyphens/>
        <w:autoSpaceDN w:val="0"/>
        <w:spacing w:after="160" w:line="242" w:lineRule="auto"/>
        <w:contextualSpacing/>
        <w:rPr>
          <w:rFonts w:eastAsia="Calibri" w:cs="Arial"/>
          <w:szCs w:val="24"/>
        </w:rPr>
      </w:pPr>
    </w:p>
    <w:p w14:paraId="46D8B201" w14:textId="79AAE55E" w:rsidR="00791BC9" w:rsidRPr="00791BC9" w:rsidRDefault="008731E3" w:rsidP="00BB24B3">
      <w:pPr>
        <w:autoSpaceDN w:val="0"/>
        <w:spacing w:after="160"/>
        <w:ind w:left="360"/>
        <w:contextualSpacing/>
        <w:rPr>
          <w:rFonts w:eastAsia="Calibri" w:cs="Arial"/>
          <w:szCs w:val="24"/>
        </w:rPr>
      </w:pPr>
      <w:r>
        <w:rPr>
          <w:rFonts w:eastAsia="Calibri" w:cs="Arial"/>
          <w:szCs w:val="24"/>
        </w:rPr>
        <w:t xml:space="preserve">5.6 </w:t>
      </w:r>
      <w:r w:rsidR="0041406A">
        <w:rPr>
          <w:rFonts w:eastAsia="Calibri" w:cs="Arial"/>
          <w:szCs w:val="24"/>
        </w:rPr>
        <w:t xml:space="preserve">It is recommended that the Council’s </w:t>
      </w:r>
      <w:r w:rsidR="00835C01">
        <w:rPr>
          <w:rFonts w:eastAsia="Calibri" w:cs="Arial"/>
          <w:szCs w:val="24"/>
        </w:rPr>
        <w:t xml:space="preserve">Strategy </w:t>
      </w:r>
      <w:r w:rsidR="00D546B7">
        <w:rPr>
          <w:rFonts w:eastAsia="Calibri" w:cs="Arial"/>
          <w:szCs w:val="24"/>
        </w:rPr>
        <w:t>Steering Group should review and update the Action Plan and priority projects annually during the strategy period.</w:t>
      </w:r>
      <w:r w:rsidR="00791BC9">
        <w:rPr>
          <w:rFonts w:eastAsia="Calibri" w:cs="Arial"/>
          <w:szCs w:val="24"/>
        </w:rPr>
        <w:t xml:space="preserve"> </w:t>
      </w:r>
      <w:r w:rsidR="00791BC9" w:rsidRPr="00791BC9">
        <w:rPr>
          <w:rFonts w:eastAsia="Calibri" w:cs="Arial"/>
          <w:szCs w:val="24"/>
          <w14:ligatures w14:val="standardContextual"/>
        </w:rPr>
        <w:t xml:space="preserve">The Steering Group will include </w:t>
      </w:r>
      <w:r w:rsidR="00037E6C">
        <w:rPr>
          <w:rFonts w:eastAsia="Calibri" w:cs="Arial"/>
          <w:szCs w:val="24"/>
          <w14:ligatures w14:val="standardContextual"/>
        </w:rPr>
        <w:t xml:space="preserve">project team members, supported by </w:t>
      </w:r>
      <w:r w:rsidR="00D77C37">
        <w:rPr>
          <w:rFonts w:eastAsia="Calibri" w:cs="Arial"/>
          <w:szCs w:val="24"/>
          <w14:ligatures w14:val="standardContextual"/>
        </w:rPr>
        <w:t>e</w:t>
      </w:r>
      <w:r w:rsidR="00791BC9" w:rsidRPr="00791BC9">
        <w:rPr>
          <w:rFonts w:eastAsia="Calibri" w:cs="Arial"/>
          <w:szCs w:val="24"/>
          <w14:ligatures w14:val="standardContextual"/>
        </w:rPr>
        <w:t xml:space="preserve">xternal members </w:t>
      </w:r>
      <w:r w:rsidR="00D77C37">
        <w:rPr>
          <w:rFonts w:eastAsia="Calibri" w:cs="Arial"/>
          <w:szCs w:val="24"/>
          <w14:ligatures w14:val="standardContextual"/>
        </w:rPr>
        <w:t xml:space="preserve">which </w:t>
      </w:r>
      <w:r w:rsidR="00791BC9" w:rsidRPr="00791BC9">
        <w:rPr>
          <w:rFonts w:eastAsia="Calibri" w:cs="Arial"/>
          <w:szCs w:val="24"/>
          <w14:ligatures w14:val="standardContextual"/>
        </w:rPr>
        <w:t>will include N</w:t>
      </w:r>
      <w:r w:rsidR="00456F0D">
        <w:rPr>
          <w:rFonts w:eastAsia="Calibri" w:cs="Arial"/>
          <w:szCs w:val="24"/>
          <w14:ligatures w14:val="standardContextual"/>
        </w:rPr>
        <w:t>ational Governing Bodies (N</w:t>
      </w:r>
      <w:r w:rsidR="00791BC9" w:rsidRPr="00791BC9">
        <w:rPr>
          <w:rFonts w:eastAsia="Calibri" w:cs="Arial"/>
          <w:szCs w:val="24"/>
          <w14:ligatures w14:val="standardContextual"/>
        </w:rPr>
        <w:t>GBs</w:t>
      </w:r>
      <w:r w:rsidR="00456F0D">
        <w:rPr>
          <w:rFonts w:eastAsia="Calibri" w:cs="Arial"/>
          <w:szCs w:val="24"/>
          <w14:ligatures w14:val="standardContextual"/>
        </w:rPr>
        <w:t>) of the relevant sports</w:t>
      </w:r>
      <w:r w:rsidR="00D77C37">
        <w:rPr>
          <w:rFonts w:eastAsia="Calibri" w:cs="Arial"/>
          <w:szCs w:val="24"/>
          <w14:ligatures w14:val="standardContextual"/>
        </w:rPr>
        <w:t xml:space="preserve">, </w:t>
      </w:r>
      <w:r w:rsidR="00791BC9" w:rsidRPr="00791BC9">
        <w:rPr>
          <w:rFonts w:eastAsia="Calibri" w:cs="Arial"/>
          <w:szCs w:val="24"/>
          <w14:ligatures w14:val="standardContextual"/>
        </w:rPr>
        <w:t>Sport England</w:t>
      </w:r>
      <w:r w:rsidR="00D77C37">
        <w:rPr>
          <w:rFonts w:eastAsia="Calibri" w:cs="Arial"/>
          <w:szCs w:val="24"/>
          <w14:ligatures w14:val="standardContextual"/>
        </w:rPr>
        <w:t xml:space="preserve"> and </w:t>
      </w:r>
      <w:r w:rsidR="004A76D3">
        <w:rPr>
          <w:rFonts w:eastAsia="Calibri" w:cs="Arial"/>
          <w:szCs w:val="24"/>
          <w14:ligatures w14:val="standardContextual"/>
        </w:rPr>
        <w:t>Harrow’s Voluntary and Community Sector.</w:t>
      </w:r>
    </w:p>
    <w:p w14:paraId="078CEA6A" w14:textId="0231A2B7" w:rsidR="0041406A" w:rsidRDefault="0041406A" w:rsidP="00BB24B3">
      <w:pPr>
        <w:suppressAutoHyphens/>
        <w:autoSpaceDN w:val="0"/>
        <w:spacing w:after="160" w:line="242" w:lineRule="auto"/>
        <w:ind w:left="360"/>
        <w:contextualSpacing/>
        <w:rPr>
          <w:rFonts w:eastAsia="Calibri" w:cs="Arial"/>
          <w:szCs w:val="24"/>
        </w:rPr>
      </w:pPr>
    </w:p>
    <w:p w14:paraId="0A850A15" w14:textId="5C4EEEFF" w:rsidR="007F6D81" w:rsidRPr="00C7184B" w:rsidRDefault="00C7184B" w:rsidP="00BB24B3">
      <w:pPr>
        <w:pStyle w:val="ListParagraph"/>
        <w:numPr>
          <w:ilvl w:val="0"/>
          <w:numId w:val="8"/>
        </w:numPr>
        <w:rPr>
          <w:rFonts w:cs="Arial"/>
          <w:b/>
          <w:bCs/>
          <w:color w:val="000000" w:themeColor="text1"/>
          <w:sz w:val="28"/>
          <w:szCs w:val="28"/>
        </w:rPr>
      </w:pPr>
      <w:r>
        <w:rPr>
          <w:rFonts w:cs="Arial"/>
          <w:b/>
          <w:bCs/>
          <w:color w:val="000000" w:themeColor="text1"/>
          <w:sz w:val="28"/>
          <w:szCs w:val="28"/>
        </w:rPr>
        <w:t xml:space="preserve">Ward Councillor Comments </w:t>
      </w:r>
    </w:p>
    <w:p w14:paraId="6EE4E54C" w14:textId="77777777" w:rsidR="00333FAA" w:rsidRDefault="00333FAA" w:rsidP="00BB24B3">
      <w:pPr>
        <w:rPr>
          <w:rFonts w:cs="Arial"/>
          <w:color w:val="0000FF"/>
          <w:sz w:val="28"/>
          <w:szCs w:val="28"/>
        </w:rPr>
      </w:pPr>
    </w:p>
    <w:p w14:paraId="451DEC2D" w14:textId="1492026A" w:rsidR="00EF5117" w:rsidRPr="00EF5117" w:rsidRDefault="00EF5117" w:rsidP="00BB24B3">
      <w:pPr>
        <w:rPr>
          <w:rFonts w:cs="Arial"/>
          <w:color w:val="0000FF"/>
          <w:szCs w:val="24"/>
        </w:rPr>
      </w:pPr>
      <w:r>
        <w:rPr>
          <w:bCs/>
          <w:szCs w:val="24"/>
        </w:rPr>
        <w:t>6.1 N/A – the recommendations in this report affect all wards.</w:t>
      </w:r>
    </w:p>
    <w:p w14:paraId="46F07B30" w14:textId="77777777" w:rsidR="00955421" w:rsidRDefault="00955421" w:rsidP="00BB24B3">
      <w:pPr>
        <w:rPr>
          <w:b/>
        </w:rPr>
      </w:pPr>
    </w:p>
    <w:p w14:paraId="73FE317D" w14:textId="6C1D1FE3" w:rsidR="0084047E" w:rsidRPr="008272EE" w:rsidRDefault="00E94C30" w:rsidP="00BB24B3">
      <w:pPr>
        <w:pStyle w:val="ListParagraph"/>
        <w:numPr>
          <w:ilvl w:val="0"/>
          <w:numId w:val="8"/>
        </w:numPr>
        <w:rPr>
          <w:b/>
        </w:rPr>
      </w:pPr>
      <w:r>
        <w:rPr>
          <w:b/>
          <w:sz w:val="28"/>
          <w:szCs w:val="28"/>
        </w:rPr>
        <w:t>Performance Issues</w:t>
      </w:r>
    </w:p>
    <w:p w14:paraId="76D920F3" w14:textId="77777777" w:rsidR="008272EE" w:rsidRDefault="008272EE" w:rsidP="00BB24B3">
      <w:pPr>
        <w:rPr>
          <w:b/>
        </w:rPr>
      </w:pPr>
    </w:p>
    <w:p w14:paraId="1652312C" w14:textId="3D6B5BDD" w:rsidR="008272EE" w:rsidRPr="008272EE" w:rsidRDefault="00FF7470" w:rsidP="00BB24B3">
      <w:pPr>
        <w:rPr>
          <w:bCs/>
        </w:rPr>
      </w:pPr>
      <w:r>
        <w:rPr>
          <w:bCs/>
        </w:rPr>
        <w:t xml:space="preserve">7.1 </w:t>
      </w:r>
      <w:r w:rsidR="0046412E">
        <w:rPr>
          <w:bCs/>
        </w:rPr>
        <w:t>S</w:t>
      </w:r>
      <w:r w:rsidR="00396246">
        <w:rPr>
          <w:bCs/>
        </w:rPr>
        <w:t>port England</w:t>
      </w:r>
      <w:r>
        <w:rPr>
          <w:bCs/>
        </w:rPr>
        <w:t xml:space="preserve">’s </w:t>
      </w:r>
      <w:r w:rsidR="000331E5">
        <w:rPr>
          <w:bCs/>
        </w:rPr>
        <w:t xml:space="preserve">latest Active </w:t>
      </w:r>
      <w:r w:rsidR="00396246">
        <w:rPr>
          <w:bCs/>
        </w:rPr>
        <w:t xml:space="preserve">Lives Survey </w:t>
      </w:r>
      <w:r w:rsidR="000331E5">
        <w:rPr>
          <w:bCs/>
        </w:rPr>
        <w:t xml:space="preserve">results (Nov </w:t>
      </w:r>
      <w:r w:rsidR="00EA0B57">
        <w:rPr>
          <w:bCs/>
        </w:rPr>
        <w:t>2021</w:t>
      </w:r>
      <w:r w:rsidR="000331E5">
        <w:rPr>
          <w:bCs/>
        </w:rPr>
        <w:t xml:space="preserve">-Nov </w:t>
      </w:r>
      <w:r w:rsidR="00EA0B57">
        <w:rPr>
          <w:bCs/>
        </w:rPr>
        <w:t>2022</w:t>
      </w:r>
      <w:r w:rsidR="000331E5">
        <w:rPr>
          <w:bCs/>
        </w:rPr>
        <w:t xml:space="preserve">) show that more adult residents of the borough </w:t>
      </w:r>
      <w:r w:rsidR="00C32794">
        <w:rPr>
          <w:bCs/>
        </w:rPr>
        <w:t>(aged 16+) are physical</w:t>
      </w:r>
      <w:r w:rsidR="009578CD">
        <w:rPr>
          <w:bCs/>
        </w:rPr>
        <w:t>ly</w:t>
      </w:r>
      <w:r w:rsidR="00C32794">
        <w:rPr>
          <w:bCs/>
        </w:rPr>
        <w:t xml:space="preserve"> ‘inactive’ (</w:t>
      </w:r>
      <w:r w:rsidR="00EA0B57">
        <w:rPr>
          <w:bCs/>
        </w:rPr>
        <w:t>30</w:t>
      </w:r>
      <w:r w:rsidR="00C32794">
        <w:rPr>
          <w:bCs/>
        </w:rPr>
        <w:t>%) compared to the national average (</w:t>
      </w:r>
      <w:r w:rsidR="00EA0B57">
        <w:rPr>
          <w:bCs/>
        </w:rPr>
        <w:t>25.8</w:t>
      </w:r>
      <w:r w:rsidR="00C32794">
        <w:rPr>
          <w:bCs/>
        </w:rPr>
        <w:t>%) and the regional average (</w:t>
      </w:r>
      <w:r w:rsidR="00EA0B57">
        <w:rPr>
          <w:bCs/>
        </w:rPr>
        <w:t>25</w:t>
      </w:r>
      <w:r w:rsidR="00C32794">
        <w:rPr>
          <w:bCs/>
        </w:rPr>
        <w:t>%)</w:t>
      </w:r>
      <w:r w:rsidR="008645EC">
        <w:rPr>
          <w:bCs/>
        </w:rPr>
        <w:t xml:space="preserve">, as well as a </w:t>
      </w:r>
      <w:r w:rsidR="00854656">
        <w:rPr>
          <w:bCs/>
        </w:rPr>
        <w:t>lower-level</w:t>
      </w:r>
      <w:r w:rsidR="008645EC">
        <w:rPr>
          <w:bCs/>
        </w:rPr>
        <w:t xml:space="preserve"> percentage (</w:t>
      </w:r>
      <w:r w:rsidR="00EA0B57">
        <w:rPr>
          <w:bCs/>
        </w:rPr>
        <w:t>59.8</w:t>
      </w:r>
      <w:r w:rsidR="008645EC">
        <w:rPr>
          <w:bCs/>
        </w:rPr>
        <w:t xml:space="preserve">%) being classed as </w:t>
      </w:r>
      <w:r w:rsidR="009D0681">
        <w:rPr>
          <w:bCs/>
        </w:rPr>
        <w:t>‘active’ than the regional (</w:t>
      </w:r>
      <w:r w:rsidR="00EA0B57">
        <w:rPr>
          <w:bCs/>
        </w:rPr>
        <w:t>64.2</w:t>
      </w:r>
      <w:r w:rsidR="009D0681">
        <w:rPr>
          <w:bCs/>
        </w:rPr>
        <w:t>%) and national averages (</w:t>
      </w:r>
      <w:r w:rsidR="00EA0B57">
        <w:rPr>
          <w:bCs/>
        </w:rPr>
        <w:t>63.1</w:t>
      </w:r>
      <w:r w:rsidR="009D0681">
        <w:rPr>
          <w:bCs/>
        </w:rPr>
        <w:t>%)</w:t>
      </w:r>
      <w:r w:rsidR="00854656">
        <w:rPr>
          <w:bCs/>
        </w:rPr>
        <w:t xml:space="preserve">. </w:t>
      </w:r>
    </w:p>
    <w:p w14:paraId="1E2ADD88" w14:textId="77777777" w:rsidR="0084047E" w:rsidRDefault="0084047E" w:rsidP="00BB24B3">
      <w:pPr>
        <w:pStyle w:val="Heading4"/>
        <w:tabs>
          <w:tab w:val="left" w:pos="3600"/>
        </w:tabs>
        <w:rPr>
          <w:color w:val="0000FF"/>
          <w:szCs w:val="24"/>
        </w:rPr>
      </w:pPr>
    </w:p>
    <w:p w14:paraId="748D19C3" w14:textId="589E0525" w:rsidR="00854656" w:rsidRDefault="00854656" w:rsidP="00BB24B3">
      <w:r>
        <w:t xml:space="preserve">7.2 The </w:t>
      </w:r>
      <w:r w:rsidR="00516DD0">
        <w:t xml:space="preserve">last available </w:t>
      </w:r>
      <w:r w:rsidR="00350F65">
        <w:t xml:space="preserve">data from the </w:t>
      </w:r>
      <w:r w:rsidR="00970962">
        <w:t xml:space="preserve">Sport England </w:t>
      </w:r>
      <w:r>
        <w:t xml:space="preserve">Active Lives Children </w:t>
      </w:r>
      <w:r w:rsidR="00350F65">
        <w:t xml:space="preserve">Survey for Harrow is for the </w:t>
      </w:r>
      <w:r w:rsidR="00EA0B57">
        <w:t>2022-23</w:t>
      </w:r>
      <w:r w:rsidR="00350F65">
        <w:t xml:space="preserve"> academic year. </w:t>
      </w:r>
      <w:r w:rsidR="00E37526">
        <w:t xml:space="preserve">The level of activity of children in Harrow is </w:t>
      </w:r>
      <w:r w:rsidR="00BE65CC">
        <w:t xml:space="preserve">better </w:t>
      </w:r>
      <w:r w:rsidR="009B691F">
        <w:t xml:space="preserve">than the regional and national picture. </w:t>
      </w:r>
      <w:r w:rsidR="00EA0B57">
        <w:t>29.9</w:t>
      </w:r>
      <w:r w:rsidR="009B691F">
        <w:t xml:space="preserve">% of children are ‘less active’ in Harrow compared to </w:t>
      </w:r>
      <w:r w:rsidR="00EA0B57">
        <w:t>32.5</w:t>
      </w:r>
      <w:r w:rsidR="009B691F">
        <w:t xml:space="preserve">% of children in London and </w:t>
      </w:r>
      <w:r w:rsidR="00EA0B57">
        <w:t>30.2</w:t>
      </w:r>
      <w:r w:rsidR="009B691F">
        <w:t xml:space="preserve">% of children in England. </w:t>
      </w:r>
      <w:r w:rsidR="003C3B2C">
        <w:t xml:space="preserve">There are </w:t>
      </w:r>
      <w:r w:rsidR="00A929B7">
        <w:t xml:space="preserve">also </w:t>
      </w:r>
      <w:r w:rsidR="00BE65CC">
        <w:t xml:space="preserve">more </w:t>
      </w:r>
      <w:r w:rsidR="003C3B2C">
        <w:t xml:space="preserve">‘active’ children in Harrow </w:t>
      </w:r>
      <w:r w:rsidR="00760B4B">
        <w:t>(</w:t>
      </w:r>
      <w:r w:rsidR="00BE65CC">
        <w:t>51.5</w:t>
      </w:r>
      <w:r w:rsidR="00760B4B">
        <w:t>%) in comparison to the regional (</w:t>
      </w:r>
      <w:r w:rsidR="00BE65CC">
        <w:t>45.7</w:t>
      </w:r>
      <w:r w:rsidR="00760B4B">
        <w:t>%) and national (</w:t>
      </w:r>
      <w:r w:rsidR="00BE65CC">
        <w:t>47</w:t>
      </w:r>
      <w:r w:rsidR="00760B4B">
        <w:t>%)</w:t>
      </w:r>
      <w:r w:rsidR="007433BA">
        <w:t xml:space="preserve"> average. </w:t>
      </w:r>
    </w:p>
    <w:p w14:paraId="24E3327D" w14:textId="77777777" w:rsidR="007433BA" w:rsidRDefault="007433BA" w:rsidP="00BB24B3">
      <w:pPr>
        <w:rPr>
          <w:color w:val="FF0000"/>
        </w:rPr>
      </w:pPr>
    </w:p>
    <w:p w14:paraId="2D132713" w14:textId="26065C9A" w:rsidR="00DB7601" w:rsidRPr="00DB7601" w:rsidRDefault="00DB7601" w:rsidP="00BB24B3">
      <w:pPr>
        <w:pStyle w:val="ListParagraph"/>
        <w:numPr>
          <w:ilvl w:val="0"/>
          <w:numId w:val="8"/>
        </w:numPr>
        <w:rPr>
          <w:b/>
          <w:bCs/>
          <w:sz w:val="28"/>
          <w:szCs w:val="28"/>
        </w:rPr>
      </w:pPr>
      <w:r>
        <w:rPr>
          <w:b/>
          <w:bCs/>
          <w:sz w:val="28"/>
          <w:szCs w:val="28"/>
        </w:rPr>
        <w:t xml:space="preserve">Environmental Implications </w:t>
      </w:r>
    </w:p>
    <w:p w14:paraId="79A7FF93" w14:textId="77777777" w:rsidR="0084047E" w:rsidRDefault="0084047E" w:rsidP="00BB24B3">
      <w:pPr>
        <w:pStyle w:val="Heading4"/>
        <w:tabs>
          <w:tab w:val="left" w:pos="3600"/>
        </w:tabs>
        <w:rPr>
          <w:color w:val="0000FF"/>
          <w:szCs w:val="24"/>
        </w:rPr>
      </w:pPr>
    </w:p>
    <w:p w14:paraId="31CDC984" w14:textId="2D967443" w:rsidR="008272EE" w:rsidRPr="00DB7601" w:rsidRDefault="00330832" w:rsidP="00BB24B3">
      <w:pPr>
        <w:pStyle w:val="Heading4"/>
        <w:rPr>
          <w:rFonts w:ascii="Segoe UI" w:hAnsi="Segoe UI" w:cs="Segoe UI"/>
          <w:b w:val="0"/>
          <w:bCs/>
          <w:sz w:val="18"/>
          <w:szCs w:val="18"/>
        </w:rPr>
      </w:pPr>
      <w:r>
        <w:rPr>
          <w:rStyle w:val="normaltextrun"/>
          <w:color w:val="0000FF"/>
        </w:rPr>
        <w:t> </w:t>
      </w:r>
      <w:r w:rsidR="00DB7601" w:rsidRPr="00BA560C">
        <w:rPr>
          <w:rStyle w:val="normaltextrun"/>
          <w:b w:val="0"/>
          <w:bCs/>
        </w:rPr>
        <w:t xml:space="preserve">8.1 </w:t>
      </w:r>
      <w:r w:rsidR="00726D94">
        <w:rPr>
          <w:rStyle w:val="normaltextrun"/>
          <w:b w:val="0"/>
          <w:bCs/>
        </w:rPr>
        <w:t xml:space="preserve">Delivering some of the actions listed in the Action Plan of the Strategy </w:t>
      </w:r>
      <w:r w:rsidR="002C3A61">
        <w:rPr>
          <w:rStyle w:val="normaltextrun"/>
          <w:b w:val="0"/>
          <w:bCs/>
        </w:rPr>
        <w:t xml:space="preserve">will result in improvements to the </w:t>
      </w:r>
      <w:r w:rsidR="00D27A57">
        <w:rPr>
          <w:rStyle w:val="normaltextrun"/>
          <w:b w:val="0"/>
          <w:bCs/>
        </w:rPr>
        <w:t xml:space="preserve">quality of indoor sports facilities including having more energy efficient </w:t>
      </w:r>
      <w:r w:rsidR="00B67E23">
        <w:rPr>
          <w:rStyle w:val="normaltextrun"/>
          <w:b w:val="0"/>
          <w:bCs/>
        </w:rPr>
        <w:t xml:space="preserve">and sustainable </w:t>
      </w:r>
      <w:r w:rsidR="00D27A57">
        <w:rPr>
          <w:rStyle w:val="normaltextrun"/>
          <w:b w:val="0"/>
          <w:bCs/>
        </w:rPr>
        <w:t>buildings</w:t>
      </w:r>
      <w:r w:rsidR="00986AE5">
        <w:rPr>
          <w:rStyle w:val="normaltextrun"/>
          <w:b w:val="0"/>
          <w:bCs/>
        </w:rPr>
        <w:t>. This will support the Council’s ‘Living Harrow: The London Borough of Harrow’s Climate and Nature Strategy</w:t>
      </w:r>
      <w:r w:rsidR="007F0255">
        <w:rPr>
          <w:rStyle w:val="normaltextrun"/>
          <w:b w:val="0"/>
          <w:bCs/>
        </w:rPr>
        <w:t xml:space="preserve">, 2023-30’ to reduce carbon dioxide </w:t>
      </w:r>
      <w:r w:rsidR="00B67E23">
        <w:rPr>
          <w:rStyle w:val="normaltextrun"/>
          <w:b w:val="0"/>
          <w:bCs/>
        </w:rPr>
        <w:t>emissions.</w:t>
      </w:r>
    </w:p>
    <w:p w14:paraId="75284416" w14:textId="6715AD17" w:rsidR="00A81E19" w:rsidRDefault="00A81E19" w:rsidP="00BB24B3">
      <w:pPr>
        <w:pStyle w:val="Heading3"/>
        <w:numPr>
          <w:ilvl w:val="0"/>
          <w:numId w:val="8"/>
        </w:numPr>
        <w:spacing w:before="480" w:after="240"/>
        <w:jc w:val="left"/>
      </w:pPr>
      <w:r>
        <w:t>Risk Management Implications</w:t>
      </w:r>
    </w:p>
    <w:p w14:paraId="3302BB0B" w14:textId="389AC897" w:rsidR="00DC5788" w:rsidRDefault="00B2516E" w:rsidP="00BB24B3">
      <w:pPr>
        <w:rPr>
          <w:rFonts w:cs="Arial"/>
          <w:b/>
          <w:bCs/>
          <w:szCs w:val="24"/>
          <w:lang w:val="en-US"/>
        </w:rPr>
      </w:pPr>
      <w:bookmarkStart w:id="0" w:name="_Hlk60923477"/>
      <w:bookmarkStart w:id="1" w:name="_Hlk60922991"/>
      <w:bookmarkStart w:id="2" w:name="_Hlk60923939"/>
      <w:r>
        <w:rPr>
          <w:rFonts w:cs="Arial"/>
          <w:szCs w:val="24"/>
          <w:lang w:val="en-US"/>
        </w:rPr>
        <w:t xml:space="preserve">9.1 Risks included on corporate or directorate risk register? </w:t>
      </w:r>
      <w:r>
        <w:rPr>
          <w:rFonts w:cs="Arial"/>
          <w:b/>
          <w:bCs/>
          <w:szCs w:val="24"/>
          <w:lang w:val="en-US"/>
        </w:rPr>
        <w:t>No</w:t>
      </w:r>
    </w:p>
    <w:p w14:paraId="27481284" w14:textId="77777777" w:rsidR="00B2516E" w:rsidRDefault="00B2516E" w:rsidP="00BB24B3">
      <w:pPr>
        <w:rPr>
          <w:rFonts w:cs="Arial"/>
          <w:b/>
          <w:bCs/>
          <w:szCs w:val="24"/>
          <w:lang w:val="en-US"/>
        </w:rPr>
      </w:pPr>
    </w:p>
    <w:p w14:paraId="3A828158" w14:textId="24D45D9F" w:rsidR="006B1A74" w:rsidRPr="006E7914" w:rsidRDefault="006B1A74" w:rsidP="00BB24B3">
      <w:pPr>
        <w:ind w:left="-142" w:right="141" w:firstLine="142"/>
        <w:rPr>
          <w:rFonts w:cs="Arial"/>
          <w:color w:val="4F81BD" w:themeColor="accent1"/>
          <w:szCs w:val="24"/>
          <w:lang w:val="en-US" w:eastAsia="en-GB"/>
        </w:rPr>
      </w:pPr>
      <w:r>
        <w:rPr>
          <w:rFonts w:cs="Arial"/>
          <w:szCs w:val="24"/>
          <w:lang w:val="en-US" w:eastAsia="en-GB"/>
        </w:rPr>
        <w:t xml:space="preserve">9.2 Separate risk register in place? </w:t>
      </w:r>
      <w:r w:rsidR="006E7914">
        <w:rPr>
          <w:rFonts w:cs="Arial"/>
          <w:b/>
          <w:bCs/>
          <w:szCs w:val="24"/>
          <w:lang w:val="en-US" w:eastAsia="en-GB"/>
        </w:rPr>
        <w:t xml:space="preserve">No </w:t>
      </w:r>
      <w:r w:rsidR="006E7914">
        <w:rPr>
          <w:rFonts w:cs="Arial"/>
          <w:szCs w:val="24"/>
          <w:lang w:val="en-US" w:eastAsia="en-GB"/>
        </w:rPr>
        <w:t xml:space="preserve">– Separate risk registers will be developed </w:t>
      </w:r>
      <w:r w:rsidR="00FE69D2">
        <w:rPr>
          <w:rFonts w:cs="Arial"/>
          <w:szCs w:val="24"/>
          <w:lang w:val="en-US" w:eastAsia="en-GB"/>
        </w:rPr>
        <w:t>for the delivery of discrete projects.</w:t>
      </w:r>
    </w:p>
    <w:p w14:paraId="5A23FB86" w14:textId="77777777" w:rsidR="00B2516E" w:rsidRDefault="00B2516E" w:rsidP="00BB24B3"/>
    <w:p w14:paraId="1DB8CD67" w14:textId="7A4843A6" w:rsidR="006B1A74" w:rsidRDefault="006B1A74" w:rsidP="00BB24B3">
      <w:pPr>
        <w:tabs>
          <w:tab w:val="left" w:pos="5610"/>
        </w:tabs>
        <w:ind w:right="81"/>
      </w:pPr>
      <w:r>
        <w:t xml:space="preserve">9.3 The relevant risks contained in the register are attached/summarised below. </w:t>
      </w:r>
      <w:r w:rsidR="006A5431">
        <w:rPr>
          <w:rFonts w:cs="Arial"/>
          <w:b/>
          <w:bCs/>
          <w:szCs w:val="24"/>
          <w:lang w:val="en-US" w:eastAsia="en-GB"/>
        </w:rPr>
        <w:t>n/a</w:t>
      </w:r>
      <w:r>
        <w:rPr>
          <w:rFonts w:cs="Arial"/>
          <w:b/>
          <w:bCs/>
          <w:szCs w:val="24"/>
          <w:lang w:val="en-US" w:eastAsia="en-GB"/>
        </w:rPr>
        <w:t xml:space="preserve"> </w:t>
      </w:r>
    </w:p>
    <w:p w14:paraId="56D0A78E" w14:textId="77777777" w:rsidR="006B1A74" w:rsidRDefault="006B1A74" w:rsidP="00BB24B3"/>
    <w:p w14:paraId="6BB58B53" w14:textId="3316FCF1" w:rsidR="00AB6579" w:rsidRDefault="00AB6579" w:rsidP="00AB6579">
      <w:pPr>
        <w:jc w:val="both"/>
      </w:pPr>
      <w:r>
        <w:lastRenderedPageBreak/>
        <w:t>9.4 The following key risks should be taken into account when agreeing the recommendations in this report:</w:t>
      </w:r>
    </w:p>
    <w:p w14:paraId="6C47D254" w14:textId="77777777" w:rsidR="00DC5788" w:rsidRDefault="00DC5788" w:rsidP="224DF7B4"/>
    <w:tbl>
      <w:tblPr>
        <w:tblW w:w="8635" w:type="dxa"/>
        <w:tblCellMar>
          <w:left w:w="10" w:type="dxa"/>
          <w:right w:w="10" w:type="dxa"/>
        </w:tblCellMar>
        <w:tblLook w:val="04A0" w:firstRow="1" w:lastRow="0" w:firstColumn="1" w:lastColumn="0" w:noHBand="0" w:noVBand="1"/>
      </w:tblPr>
      <w:tblGrid>
        <w:gridCol w:w="3267"/>
        <w:gridCol w:w="4241"/>
        <w:gridCol w:w="1127"/>
      </w:tblGrid>
      <w:tr w:rsidR="00AB6579" w14:paraId="7129E87D" w14:textId="77777777" w:rsidTr="00F6659D">
        <w:trPr>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6FFC22AE" w14:textId="77777777" w:rsidR="00AB6579" w:rsidRDefault="00AB6579" w:rsidP="00CD3F3C">
            <w:pPr>
              <w:spacing w:line="247" w:lineRule="auto"/>
              <w:ind w:right="141"/>
              <w:rPr>
                <w:rFonts w:cs="Arial"/>
                <w:b/>
                <w:bCs/>
                <w:szCs w:val="24"/>
                <w:lang w:val="en-US" w:eastAsia="en-GB"/>
              </w:rPr>
            </w:pPr>
            <w:r>
              <w:rPr>
                <w:rFonts w:cs="Arial"/>
                <w:b/>
                <w:bCs/>
                <w:szCs w:val="24"/>
                <w:lang w:val="en-US" w:eastAsia="en-GB"/>
              </w:rPr>
              <w:t>Risk Description</w:t>
            </w:r>
          </w:p>
        </w:tc>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36CB592F" w14:textId="77777777" w:rsidR="00AB6579" w:rsidRDefault="00AB6579" w:rsidP="00CD3F3C">
            <w:pPr>
              <w:spacing w:line="247" w:lineRule="auto"/>
              <w:ind w:right="141"/>
              <w:rPr>
                <w:rFonts w:cs="Arial"/>
                <w:b/>
                <w:bCs/>
                <w:szCs w:val="24"/>
                <w:lang w:val="en-US" w:eastAsia="en-GB"/>
              </w:rPr>
            </w:pPr>
            <w:r>
              <w:rPr>
                <w:rFonts w:cs="Arial"/>
                <w:b/>
                <w:bCs/>
                <w:szCs w:val="24"/>
                <w:lang w:val="en-US" w:eastAsia="en-GB"/>
              </w:rPr>
              <w:t>Mitigations</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29302C" w14:textId="77777777" w:rsidR="00AB6579" w:rsidRDefault="00AB6579" w:rsidP="00F6659D">
            <w:pPr>
              <w:spacing w:line="247" w:lineRule="auto"/>
              <w:ind w:left="171" w:right="141"/>
              <w:jc w:val="center"/>
              <w:rPr>
                <w:rFonts w:cs="Arial"/>
                <w:b/>
                <w:bCs/>
                <w:szCs w:val="24"/>
                <w:lang w:val="en-US" w:eastAsia="en-GB"/>
              </w:rPr>
            </w:pPr>
            <w:r>
              <w:rPr>
                <w:rFonts w:cs="Arial"/>
                <w:b/>
                <w:bCs/>
                <w:szCs w:val="24"/>
                <w:lang w:val="en-US" w:eastAsia="en-GB"/>
              </w:rPr>
              <w:t>RAG Status</w:t>
            </w:r>
          </w:p>
        </w:tc>
      </w:tr>
      <w:tr w:rsidR="00AB6579" w14:paraId="41A65999" w14:textId="77777777" w:rsidTr="00F6659D">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FC901D0" w14:textId="494128E8" w:rsidR="00AB6579" w:rsidRDefault="00924C2C" w:rsidP="00CD3F3C">
            <w:pPr>
              <w:spacing w:line="247" w:lineRule="auto"/>
              <w:ind w:right="141"/>
              <w:rPr>
                <w:rFonts w:cs="Arial"/>
                <w:szCs w:val="24"/>
                <w:lang w:val="en-US" w:eastAsia="en-GB"/>
              </w:rPr>
            </w:pPr>
            <w:r>
              <w:rPr>
                <w:rFonts w:cs="Arial"/>
                <w:szCs w:val="24"/>
                <w:lang w:val="en-US" w:eastAsia="en-GB"/>
              </w:rPr>
              <w:t xml:space="preserve">1. </w:t>
            </w:r>
            <w:r w:rsidR="004E7F41">
              <w:rPr>
                <w:rFonts w:cs="Arial"/>
                <w:szCs w:val="24"/>
                <w:lang w:val="en-US" w:eastAsia="en-GB"/>
              </w:rPr>
              <w:t xml:space="preserve">The </w:t>
            </w:r>
            <w:r w:rsidR="00565A31">
              <w:rPr>
                <w:rFonts w:cs="Arial"/>
                <w:szCs w:val="24"/>
                <w:lang w:val="en-US" w:eastAsia="en-GB"/>
              </w:rPr>
              <w:t xml:space="preserve">Action Plan is not deliverable due to a lack </w:t>
            </w:r>
            <w:r w:rsidR="001C7917">
              <w:rPr>
                <w:rFonts w:cs="Arial"/>
                <w:szCs w:val="24"/>
                <w:lang w:val="en-US" w:eastAsia="en-GB"/>
              </w:rPr>
              <w:t>of funding being available and an inability to secure external funding.</w:t>
            </w:r>
          </w:p>
        </w:tc>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D5772E4" w14:textId="519D4CB6" w:rsidR="00AB6579" w:rsidRDefault="00454781" w:rsidP="00CD3F3C">
            <w:pPr>
              <w:pStyle w:val="ListParagraph"/>
              <w:numPr>
                <w:ilvl w:val="0"/>
                <w:numId w:val="5"/>
              </w:numPr>
              <w:suppressAutoHyphens/>
              <w:autoSpaceDN w:val="0"/>
              <w:spacing w:line="247" w:lineRule="auto"/>
              <w:ind w:left="171" w:right="141" w:hanging="171"/>
              <w:rPr>
                <w:szCs w:val="24"/>
                <w:lang w:val="en-US"/>
              </w:rPr>
            </w:pPr>
            <w:r>
              <w:rPr>
                <w:szCs w:val="24"/>
                <w:lang w:val="en-US"/>
              </w:rPr>
              <w:t xml:space="preserve">The Action Plan is a </w:t>
            </w:r>
            <w:r w:rsidR="00C63F88">
              <w:rPr>
                <w:szCs w:val="24"/>
                <w:lang w:val="en-US"/>
              </w:rPr>
              <w:t>guide to how facilities might be developed pending funding confirmation</w:t>
            </w:r>
            <w:r w:rsidR="00931376">
              <w:rPr>
                <w:szCs w:val="24"/>
                <w:lang w:val="en-US"/>
              </w:rPr>
              <w:t>.</w:t>
            </w:r>
          </w:p>
          <w:p w14:paraId="6EDF3EB6" w14:textId="408162FE" w:rsidR="00AB6579" w:rsidRDefault="00931376" w:rsidP="00CD3F3C">
            <w:pPr>
              <w:pStyle w:val="ListParagraph"/>
              <w:numPr>
                <w:ilvl w:val="0"/>
                <w:numId w:val="5"/>
              </w:numPr>
              <w:suppressAutoHyphens/>
              <w:autoSpaceDN w:val="0"/>
              <w:spacing w:line="247" w:lineRule="auto"/>
              <w:ind w:left="171" w:right="141" w:hanging="171"/>
              <w:rPr>
                <w:szCs w:val="24"/>
                <w:lang w:val="en-US"/>
              </w:rPr>
            </w:pPr>
            <w:r>
              <w:rPr>
                <w:szCs w:val="24"/>
                <w:lang w:val="en-US"/>
              </w:rPr>
              <w:t xml:space="preserve">The delivery of the </w:t>
            </w:r>
            <w:r w:rsidR="002A34C7">
              <w:rPr>
                <w:szCs w:val="24"/>
                <w:lang w:val="en-US"/>
              </w:rPr>
              <w:t xml:space="preserve">strategic recommendations of the </w:t>
            </w:r>
            <w:r w:rsidR="00CD4589">
              <w:rPr>
                <w:szCs w:val="24"/>
                <w:lang w:val="en-US"/>
              </w:rPr>
              <w:t xml:space="preserve">strategy is likely to require capital investment. Each proposed project will be assessed on a </w:t>
            </w:r>
            <w:r w:rsidR="00DC0231">
              <w:rPr>
                <w:szCs w:val="24"/>
                <w:lang w:val="en-US"/>
              </w:rPr>
              <w:t>case-by-case</w:t>
            </w:r>
            <w:r w:rsidR="00CD4589">
              <w:rPr>
                <w:szCs w:val="24"/>
                <w:lang w:val="en-US"/>
              </w:rPr>
              <w:t xml:space="preserve"> </w:t>
            </w:r>
            <w:r w:rsidR="00FE4E53">
              <w:rPr>
                <w:szCs w:val="24"/>
                <w:lang w:val="en-US"/>
              </w:rPr>
              <w:t xml:space="preserve">basis to ensure that it is financially viable and </w:t>
            </w:r>
            <w:r w:rsidR="00150007">
              <w:rPr>
                <w:szCs w:val="24"/>
                <w:lang w:val="en-US"/>
              </w:rPr>
              <w:t>is subject to a funding bi</w:t>
            </w:r>
            <w:r w:rsidR="009D4B3D">
              <w:rPr>
                <w:szCs w:val="24"/>
                <w:lang w:val="en-US"/>
              </w:rPr>
              <w:t>d</w:t>
            </w:r>
            <w:r w:rsidR="00150007">
              <w:rPr>
                <w:szCs w:val="24"/>
                <w:lang w:val="en-US"/>
              </w:rPr>
              <w:t xml:space="preserve"> in accordance with the Council’s annual budget process.</w:t>
            </w:r>
          </w:p>
          <w:p w14:paraId="0575BA91" w14:textId="569A008E" w:rsidR="00AB6579" w:rsidRDefault="00DC0231" w:rsidP="00CD3F3C">
            <w:pPr>
              <w:pStyle w:val="ListParagraph"/>
              <w:numPr>
                <w:ilvl w:val="0"/>
                <w:numId w:val="5"/>
              </w:numPr>
              <w:suppressAutoHyphens/>
              <w:autoSpaceDN w:val="0"/>
              <w:spacing w:line="247" w:lineRule="auto"/>
              <w:ind w:left="171" w:right="141" w:hanging="171"/>
              <w:rPr>
                <w:szCs w:val="24"/>
                <w:lang w:val="en-US"/>
              </w:rPr>
            </w:pPr>
            <w:r>
              <w:rPr>
                <w:szCs w:val="24"/>
                <w:lang w:val="en-US"/>
              </w:rPr>
              <w:t xml:space="preserve">External funding opportunities will be explored to minimise the need for Council borrowing. </w:t>
            </w:r>
            <w:r w:rsidR="002503F6">
              <w:rPr>
                <w:szCs w:val="24"/>
                <w:lang w:val="en-US"/>
              </w:rPr>
              <w:t xml:space="preserve">By adopting the </w:t>
            </w:r>
            <w:r w:rsidR="00873B6C">
              <w:rPr>
                <w:szCs w:val="24"/>
                <w:lang w:val="en-US"/>
              </w:rPr>
              <w:t>strategy,</w:t>
            </w:r>
            <w:r w:rsidR="002503F6">
              <w:rPr>
                <w:szCs w:val="24"/>
                <w:lang w:val="en-US"/>
              </w:rPr>
              <w:t xml:space="preserve"> the Council will </w:t>
            </w:r>
            <w:r w:rsidR="00AF2C19">
              <w:rPr>
                <w:szCs w:val="24"/>
                <w:lang w:val="en-US"/>
              </w:rPr>
              <w:t xml:space="preserve">be </w:t>
            </w:r>
            <w:r w:rsidR="002503F6">
              <w:rPr>
                <w:szCs w:val="24"/>
                <w:lang w:val="en-US"/>
              </w:rPr>
              <w:t>able to maximise</w:t>
            </w:r>
            <w:r w:rsidR="00E363DC">
              <w:rPr>
                <w:szCs w:val="24"/>
                <w:lang w:val="en-US"/>
              </w:rPr>
              <w:t xml:space="preserve"> its potential to secure grant funding.</w:t>
            </w:r>
            <w:r w:rsidR="002503F6">
              <w:rPr>
                <w:szCs w:val="24"/>
                <w:lang w:val="en-US"/>
              </w:rPr>
              <w:t xml:space="preserve"> </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hideMark/>
          </w:tcPr>
          <w:p w14:paraId="5F8E8538" w14:textId="77777777" w:rsidR="00AB6579" w:rsidRDefault="00AB6579" w:rsidP="00F6659D">
            <w:pPr>
              <w:spacing w:line="247" w:lineRule="auto"/>
              <w:ind w:left="171" w:right="141"/>
              <w:jc w:val="center"/>
              <w:rPr>
                <w:rFonts w:cs="Arial"/>
                <w:szCs w:val="24"/>
                <w:lang w:val="en-US" w:eastAsia="en-GB"/>
              </w:rPr>
            </w:pPr>
          </w:p>
          <w:p w14:paraId="17C299F3" w14:textId="368D22D4" w:rsidR="00F6659D" w:rsidRPr="00F6659D" w:rsidRDefault="00F6659D" w:rsidP="00F6659D">
            <w:pPr>
              <w:jc w:val="center"/>
              <w:rPr>
                <w:rFonts w:cs="Arial"/>
                <w:b/>
                <w:bCs/>
                <w:szCs w:val="24"/>
                <w:lang w:val="en-US" w:eastAsia="en-GB"/>
              </w:rPr>
            </w:pPr>
            <w:r>
              <w:rPr>
                <w:rFonts w:cs="Arial"/>
                <w:b/>
                <w:bCs/>
                <w:szCs w:val="24"/>
                <w:lang w:val="en-US" w:eastAsia="en-GB"/>
              </w:rPr>
              <w:t>AMBER</w:t>
            </w:r>
          </w:p>
          <w:p w14:paraId="0796DCEE" w14:textId="5CCAA106" w:rsidR="00F6659D" w:rsidRPr="00F6659D" w:rsidRDefault="00F6659D" w:rsidP="00F6659D">
            <w:pPr>
              <w:jc w:val="center"/>
              <w:rPr>
                <w:rFonts w:cs="Arial"/>
                <w:szCs w:val="24"/>
                <w:lang w:val="en-US" w:eastAsia="en-GB"/>
              </w:rPr>
            </w:pPr>
          </w:p>
        </w:tc>
      </w:tr>
      <w:tr w:rsidR="00AB6579" w14:paraId="56C420F7" w14:textId="77777777" w:rsidTr="00F6659D">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5C812D5" w14:textId="41BF83C2" w:rsidR="00AB6579" w:rsidRPr="001A4495" w:rsidRDefault="00CB4218" w:rsidP="001A4495">
            <w:pPr>
              <w:pStyle w:val="ListParagraph"/>
              <w:numPr>
                <w:ilvl w:val="0"/>
                <w:numId w:val="27"/>
              </w:numPr>
              <w:spacing w:line="247" w:lineRule="auto"/>
              <w:ind w:right="141"/>
              <w:rPr>
                <w:rFonts w:cs="Arial"/>
                <w:szCs w:val="24"/>
                <w:lang w:val="en-US" w:eastAsia="en-GB"/>
              </w:rPr>
            </w:pPr>
            <w:r w:rsidRPr="001A4495">
              <w:rPr>
                <w:rFonts w:cs="Arial"/>
                <w:szCs w:val="24"/>
                <w:lang w:val="en-US" w:eastAsia="en-GB"/>
              </w:rPr>
              <w:t xml:space="preserve">Suitable Project Management </w:t>
            </w:r>
            <w:r w:rsidR="00057644" w:rsidRPr="001A4495">
              <w:rPr>
                <w:rFonts w:cs="Arial"/>
                <w:szCs w:val="24"/>
                <w:lang w:val="en-US" w:eastAsia="en-GB"/>
              </w:rPr>
              <w:t>arrangements are not in place to ensure that the actions in the Action Plan are progressed.</w:t>
            </w:r>
          </w:p>
        </w:tc>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7873D77" w14:textId="2CE5A2D7" w:rsidR="00AB6579" w:rsidRDefault="001121BE" w:rsidP="00CD3F3C">
            <w:pPr>
              <w:pStyle w:val="ListParagraph"/>
              <w:numPr>
                <w:ilvl w:val="0"/>
                <w:numId w:val="5"/>
              </w:numPr>
              <w:suppressAutoHyphens/>
              <w:autoSpaceDN w:val="0"/>
              <w:spacing w:line="247" w:lineRule="auto"/>
              <w:ind w:left="171" w:right="141" w:hanging="171"/>
              <w:rPr>
                <w:szCs w:val="24"/>
                <w:lang w:val="en-US"/>
              </w:rPr>
            </w:pPr>
            <w:r>
              <w:rPr>
                <w:szCs w:val="24"/>
                <w:lang w:val="en-US"/>
              </w:rPr>
              <w:t xml:space="preserve">A Project Team will </w:t>
            </w:r>
            <w:r w:rsidR="009D4FAA">
              <w:rPr>
                <w:szCs w:val="24"/>
                <w:lang w:val="en-US"/>
              </w:rPr>
              <w:t xml:space="preserve">be established that will meet monthly. The Project Team will </w:t>
            </w:r>
            <w:r w:rsidR="00234782">
              <w:rPr>
                <w:szCs w:val="24"/>
                <w:lang w:val="en-US"/>
              </w:rPr>
              <w:t xml:space="preserve">be attended by relevant Council Departments including Sport and Leisure, Parks, </w:t>
            </w:r>
            <w:r w:rsidR="00DF5722">
              <w:rPr>
                <w:szCs w:val="24"/>
                <w:lang w:val="en-US"/>
              </w:rPr>
              <w:t>and Public Health</w:t>
            </w:r>
            <w:r w:rsidR="009D4FAA">
              <w:rPr>
                <w:szCs w:val="24"/>
                <w:lang w:val="en-US"/>
              </w:rPr>
              <w:t xml:space="preserve"> </w:t>
            </w:r>
          </w:p>
          <w:p w14:paraId="40260FC1" w14:textId="65A2C6BF" w:rsidR="00AB6579" w:rsidRDefault="00806DDC" w:rsidP="001D63DA">
            <w:pPr>
              <w:pStyle w:val="ListParagraph"/>
              <w:numPr>
                <w:ilvl w:val="0"/>
                <w:numId w:val="5"/>
              </w:numPr>
              <w:suppressAutoHyphens/>
              <w:autoSpaceDN w:val="0"/>
              <w:spacing w:line="247" w:lineRule="auto"/>
              <w:ind w:left="171" w:right="141" w:hanging="171"/>
              <w:rPr>
                <w:szCs w:val="24"/>
                <w:lang w:val="en-US"/>
              </w:rPr>
            </w:pPr>
            <w:r>
              <w:rPr>
                <w:szCs w:val="24"/>
                <w:lang w:val="en-US"/>
              </w:rPr>
              <w:t xml:space="preserve">Specific Project Management arrangements will be put in place </w:t>
            </w:r>
            <w:r w:rsidR="001D63DA">
              <w:rPr>
                <w:szCs w:val="24"/>
                <w:lang w:val="en-US"/>
              </w:rPr>
              <w:t>for specific projects as required involving key Council Officers and other stakeholders.</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0F3747A4" w14:textId="638438FE" w:rsidR="00AB6579" w:rsidRPr="00F6659D" w:rsidRDefault="00F6659D" w:rsidP="00F6659D">
            <w:pPr>
              <w:spacing w:line="247" w:lineRule="auto"/>
              <w:ind w:right="141"/>
              <w:jc w:val="center"/>
              <w:rPr>
                <w:rFonts w:cs="Arial"/>
                <w:b/>
                <w:bCs/>
                <w:szCs w:val="24"/>
                <w:lang w:val="en-US" w:eastAsia="en-GB"/>
              </w:rPr>
            </w:pPr>
            <w:r>
              <w:rPr>
                <w:rFonts w:cs="Arial"/>
                <w:b/>
                <w:bCs/>
                <w:szCs w:val="24"/>
                <w:lang w:val="en-US" w:eastAsia="en-GB"/>
              </w:rPr>
              <w:t>AMBER</w:t>
            </w:r>
          </w:p>
        </w:tc>
      </w:tr>
      <w:tr w:rsidR="00CB4218" w14:paraId="658B8CE3" w14:textId="77777777" w:rsidTr="00F6659D">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AD1D088" w14:textId="600FFA27" w:rsidR="00CB4218" w:rsidRPr="001A4495" w:rsidRDefault="00985F38" w:rsidP="001A4495">
            <w:pPr>
              <w:pStyle w:val="ListParagraph"/>
              <w:numPr>
                <w:ilvl w:val="0"/>
                <w:numId w:val="27"/>
              </w:numPr>
              <w:spacing w:line="247" w:lineRule="auto"/>
              <w:ind w:right="141"/>
              <w:rPr>
                <w:rFonts w:cs="Arial"/>
                <w:szCs w:val="24"/>
                <w:lang w:val="en-US" w:eastAsia="en-GB"/>
              </w:rPr>
            </w:pPr>
            <w:r w:rsidRPr="001A4495">
              <w:rPr>
                <w:rFonts w:cs="Arial"/>
                <w:szCs w:val="24"/>
                <w:lang w:val="en-US" w:eastAsia="en-GB"/>
              </w:rPr>
              <w:t>The audit of sports facilities becomes out of date</w:t>
            </w:r>
            <w:r w:rsidR="003B2604" w:rsidRPr="001A4495">
              <w:rPr>
                <w:rFonts w:cs="Arial"/>
                <w:szCs w:val="24"/>
                <w:lang w:val="en-US" w:eastAsia="en-GB"/>
              </w:rPr>
              <w:t xml:space="preserve">, including changes </w:t>
            </w:r>
            <w:r w:rsidR="00741D14" w:rsidRPr="001A4495">
              <w:rPr>
                <w:rFonts w:cs="Arial"/>
                <w:szCs w:val="24"/>
                <w:lang w:val="en-US" w:eastAsia="en-GB"/>
              </w:rPr>
              <w:t>in national priorities,</w:t>
            </w:r>
            <w:r w:rsidR="00E24E92" w:rsidRPr="001A4495">
              <w:rPr>
                <w:rFonts w:cs="Arial"/>
                <w:szCs w:val="24"/>
                <w:lang w:val="en-US" w:eastAsia="en-GB"/>
              </w:rPr>
              <w:t xml:space="preserve"> and the demand for facilities by the local community </w:t>
            </w:r>
            <w:r w:rsidR="00D875D1" w:rsidRPr="001A4495">
              <w:rPr>
                <w:rFonts w:cs="Arial"/>
                <w:szCs w:val="24"/>
                <w:lang w:val="en-US" w:eastAsia="en-GB"/>
              </w:rPr>
              <w:t>changes.</w:t>
            </w:r>
          </w:p>
          <w:p w14:paraId="4EB1EDF5" w14:textId="77777777" w:rsidR="00057644" w:rsidRDefault="00057644" w:rsidP="00CD3F3C">
            <w:pPr>
              <w:spacing w:line="247" w:lineRule="auto"/>
              <w:ind w:right="141"/>
              <w:rPr>
                <w:rFonts w:cs="Arial"/>
                <w:szCs w:val="24"/>
                <w:lang w:val="en-US" w:eastAsia="en-GB"/>
              </w:rPr>
            </w:pPr>
          </w:p>
          <w:p w14:paraId="02E8F16B" w14:textId="3E39E924" w:rsidR="00057644" w:rsidRDefault="00057644" w:rsidP="00CD3F3C">
            <w:pPr>
              <w:spacing w:line="247" w:lineRule="auto"/>
              <w:ind w:right="141"/>
              <w:rPr>
                <w:rFonts w:cs="Arial"/>
                <w:szCs w:val="24"/>
                <w:lang w:val="en-US" w:eastAsia="en-GB"/>
              </w:rPr>
            </w:pPr>
          </w:p>
        </w:tc>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D823C3C" w14:textId="02DFC59E" w:rsidR="00CB4218" w:rsidRDefault="00C72A34" w:rsidP="00CD3F3C">
            <w:pPr>
              <w:pStyle w:val="ListParagraph"/>
              <w:numPr>
                <w:ilvl w:val="0"/>
                <w:numId w:val="5"/>
              </w:numPr>
              <w:suppressAutoHyphens/>
              <w:autoSpaceDN w:val="0"/>
              <w:spacing w:line="247" w:lineRule="auto"/>
              <w:ind w:left="171" w:right="141" w:hanging="171"/>
              <w:rPr>
                <w:szCs w:val="24"/>
                <w:lang w:val="en-US"/>
              </w:rPr>
            </w:pPr>
            <w:r>
              <w:rPr>
                <w:szCs w:val="24"/>
                <w:lang w:val="en-US"/>
              </w:rPr>
              <w:t xml:space="preserve">The Indoor and Outdoor Sports Facilities Strategy Steering Group </w:t>
            </w:r>
            <w:r w:rsidR="00341A08">
              <w:rPr>
                <w:szCs w:val="24"/>
                <w:lang w:val="en-US"/>
              </w:rPr>
              <w:t>will meet annually to review and update the Action Plan and priority projects during the strategy period.</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484DA3A3" w14:textId="4A458E6A" w:rsidR="00CB4218" w:rsidRPr="00F6659D" w:rsidRDefault="00F6659D" w:rsidP="00F6659D">
            <w:pPr>
              <w:spacing w:line="247" w:lineRule="auto"/>
              <w:ind w:right="141"/>
              <w:jc w:val="center"/>
              <w:rPr>
                <w:rFonts w:cs="Arial"/>
                <w:b/>
                <w:bCs/>
                <w:szCs w:val="24"/>
                <w:lang w:val="en-US" w:eastAsia="en-GB"/>
              </w:rPr>
            </w:pPr>
            <w:r>
              <w:rPr>
                <w:rFonts w:cs="Arial"/>
                <w:b/>
                <w:bCs/>
                <w:szCs w:val="24"/>
                <w:lang w:val="en-US" w:eastAsia="en-GB"/>
              </w:rPr>
              <w:t>GREEN</w:t>
            </w:r>
          </w:p>
        </w:tc>
      </w:tr>
    </w:tbl>
    <w:p w14:paraId="5DAB6D04" w14:textId="77777777" w:rsidR="001A4495" w:rsidRDefault="001A4495" w:rsidP="00C616FF">
      <w:pPr>
        <w:rPr>
          <w:b/>
          <w:color w:val="FF0000"/>
        </w:rPr>
      </w:pPr>
      <w:bookmarkStart w:id="3" w:name="_Hlk60923639"/>
      <w:bookmarkEnd w:id="0"/>
      <w:bookmarkEnd w:id="1"/>
    </w:p>
    <w:p w14:paraId="4D134402" w14:textId="77777777" w:rsidR="00F6659D" w:rsidRDefault="00F6659D" w:rsidP="00C616FF">
      <w:pPr>
        <w:rPr>
          <w:b/>
          <w:color w:val="FF0000"/>
        </w:rPr>
      </w:pPr>
    </w:p>
    <w:p w14:paraId="5C911675" w14:textId="77777777" w:rsidR="00F6659D" w:rsidRDefault="00F6659D" w:rsidP="00C616FF">
      <w:pPr>
        <w:rPr>
          <w:b/>
          <w:color w:val="FF0000"/>
        </w:rPr>
      </w:pPr>
    </w:p>
    <w:p w14:paraId="5E350ABD" w14:textId="77777777" w:rsidR="00F6659D" w:rsidRDefault="00F6659D" w:rsidP="00C616FF">
      <w:pPr>
        <w:rPr>
          <w:b/>
          <w:color w:val="FF0000"/>
        </w:rPr>
      </w:pPr>
    </w:p>
    <w:bookmarkEnd w:id="2"/>
    <w:bookmarkEnd w:id="3"/>
    <w:p w14:paraId="0249BBDB" w14:textId="4378F8F9" w:rsidR="002A3FEF" w:rsidRDefault="002A3FEF" w:rsidP="001A4495">
      <w:pPr>
        <w:pStyle w:val="Heading3"/>
        <w:numPr>
          <w:ilvl w:val="0"/>
          <w:numId w:val="27"/>
        </w:numPr>
        <w:spacing w:before="480" w:after="240"/>
      </w:pPr>
      <w:r>
        <w:lastRenderedPageBreak/>
        <w:t>Procurement Implications</w:t>
      </w:r>
    </w:p>
    <w:p w14:paraId="6FADCD0B" w14:textId="767E3224" w:rsidR="0088165F" w:rsidRPr="0021521F" w:rsidRDefault="0088165F" w:rsidP="0088165F">
      <w:r>
        <w:t xml:space="preserve">10.1 There are no procurement implications for the proposed adoption of the Indoor </w:t>
      </w:r>
      <w:r w:rsidR="00533AD6">
        <w:t xml:space="preserve">and Outdoor </w:t>
      </w:r>
      <w:r>
        <w:t>Sports Facilit</w:t>
      </w:r>
      <w:r w:rsidR="00533AD6">
        <w:t>ies</w:t>
      </w:r>
      <w:r>
        <w:t xml:space="preserve"> Strategy, </w:t>
      </w:r>
      <w:r w:rsidR="00742D60">
        <w:t>2024-</w:t>
      </w:r>
      <w:r>
        <w:t>20</w:t>
      </w:r>
      <w:r w:rsidR="00533AD6">
        <w:t>37</w:t>
      </w:r>
      <w:r>
        <w:t xml:space="preserve">. </w:t>
      </w:r>
      <w:r w:rsidR="00AB2229">
        <w:t xml:space="preserve">Future </w:t>
      </w:r>
      <w:r>
        <w:t>Procurement for Council projects that will contribute to the delivery of the Strategy Action Plan will be undertaken in accordance with the Council’s Contract Procedure Rules</w:t>
      </w:r>
      <w:r w:rsidR="00143B34">
        <w:t xml:space="preserve"> and the Public Contract</w:t>
      </w:r>
      <w:r w:rsidR="001A2839">
        <w:t>s</w:t>
      </w:r>
      <w:r w:rsidR="00143B34">
        <w:t xml:space="preserve"> Regulations 2015 (</w:t>
      </w:r>
      <w:r w:rsidR="00AB2229">
        <w:t xml:space="preserve">which </w:t>
      </w:r>
      <w:r w:rsidR="00143B34">
        <w:t>will be replaced by Procurement Act 2023 coming into force in October 2024).</w:t>
      </w:r>
    </w:p>
    <w:p w14:paraId="44413A6E" w14:textId="15D6F281" w:rsidR="00333FAA" w:rsidRDefault="00333FAA" w:rsidP="001A4495">
      <w:pPr>
        <w:pStyle w:val="Heading3"/>
        <w:numPr>
          <w:ilvl w:val="0"/>
          <w:numId w:val="27"/>
        </w:numPr>
        <w:spacing w:before="480" w:after="240"/>
      </w:pPr>
      <w:r>
        <w:t>Legal Implications</w:t>
      </w:r>
    </w:p>
    <w:p w14:paraId="7C4860AB" w14:textId="6FFE4158" w:rsidR="00C51E8B" w:rsidRDefault="00C51E8B" w:rsidP="00C51E8B">
      <w:pPr>
        <w:pStyle w:val="Heading4"/>
        <w:keepNext w:val="0"/>
        <w:rPr>
          <w:b w:val="0"/>
        </w:rPr>
      </w:pPr>
      <w:r>
        <w:rPr>
          <w:b w:val="0"/>
        </w:rPr>
        <w:t xml:space="preserve">10.1 </w:t>
      </w:r>
      <w:r w:rsidR="00DC0786">
        <w:rPr>
          <w:b w:val="0"/>
        </w:rPr>
        <w:t>S</w:t>
      </w:r>
      <w:r w:rsidR="00DC0786" w:rsidRPr="00DC0786">
        <w:rPr>
          <w:b w:val="0"/>
        </w:rPr>
        <w:t>ection 19 of the Local Government (Miscellaneous Provisions) Act 1976</w:t>
      </w:r>
      <w:r w:rsidR="00DC0786">
        <w:rPr>
          <w:b w:val="0"/>
        </w:rPr>
        <w:t xml:space="preserve"> gives </w:t>
      </w:r>
      <w:r w:rsidR="00244F67">
        <w:rPr>
          <w:b w:val="0"/>
        </w:rPr>
        <w:t>t</w:t>
      </w:r>
      <w:r>
        <w:rPr>
          <w:b w:val="0"/>
        </w:rPr>
        <w:t>he Council the statutory power</w:t>
      </w:r>
      <w:r w:rsidR="00777053">
        <w:rPr>
          <w:b w:val="0"/>
        </w:rPr>
        <w:t>, but not duty,</w:t>
      </w:r>
      <w:r>
        <w:rPr>
          <w:b w:val="0"/>
        </w:rPr>
        <w:t xml:space="preserve"> to provide </w:t>
      </w:r>
      <w:r w:rsidR="00ED2C0D" w:rsidRPr="00ED2C0D">
        <w:rPr>
          <w:b w:val="0"/>
        </w:rPr>
        <w:t xml:space="preserve">such recreational </w:t>
      </w:r>
      <w:r>
        <w:rPr>
          <w:b w:val="0"/>
        </w:rPr>
        <w:t>facilities as it thinks fit</w:t>
      </w:r>
      <w:r w:rsidR="00ED2C0D">
        <w:rPr>
          <w:b w:val="0"/>
        </w:rPr>
        <w:t xml:space="preserve">, including </w:t>
      </w:r>
      <w:r w:rsidR="00ED2C0D" w:rsidRPr="00ED2C0D">
        <w:rPr>
          <w:b w:val="0"/>
        </w:rPr>
        <w:t>indoor and outdoor sports facilities</w:t>
      </w:r>
      <w:r w:rsidR="000C195A">
        <w:rPr>
          <w:b w:val="0"/>
        </w:rPr>
        <w:t>.</w:t>
      </w:r>
      <w:r>
        <w:rPr>
          <w:b w:val="0"/>
        </w:rPr>
        <w:t xml:space="preserve"> </w:t>
      </w:r>
    </w:p>
    <w:p w14:paraId="1E8E006C" w14:textId="77777777" w:rsidR="00B55D26" w:rsidRDefault="00B55D26" w:rsidP="00A1211C"/>
    <w:p w14:paraId="54A51334" w14:textId="4FD495C4" w:rsidR="00A1211C" w:rsidRPr="00421A4C" w:rsidRDefault="0006155F" w:rsidP="00A1211C">
      <w:pPr>
        <w:rPr>
          <w:color w:val="0000FF"/>
        </w:rPr>
      </w:pPr>
      <w:r>
        <w:t xml:space="preserve">Legal implications will arise from the delivery of the strategy and </w:t>
      </w:r>
      <w:r w:rsidR="00BB045E">
        <w:t xml:space="preserve">Action Plan, including </w:t>
      </w:r>
      <w:r w:rsidR="000B0F8A">
        <w:t xml:space="preserve">under </w:t>
      </w:r>
      <w:r w:rsidR="00BB045E">
        <w:t xml:space="preserve">public </w:t>
      </w:r>
      <w:r w:rsidR="000B0F8A">
        <w:t>procurement</w:t>
      </w:r>
      <w:r w:rsidR="00BB045E">
        <w:t xml:space="preserve">, property, planning and highways </w:t>
      </w:r>
      <w:r w:rsidR="000B0F8A">
        <w:t>legislation.</w:t>
      </w:r>
      <w:r w:rsidR="00BB045E">
        <w:t xml:space="preserve"> </w:t>
      </w:r>
    </w:p>
    <w:p w14:paraId="11F2AC04" w14:textId="7334BCD6" w:rsidR="00333FAA" w:rsidRDefault="009C49FE" w:rsidP="009C49FE">
      <w:pPr>
        <w:pStyle w:val="Heading3"/>
        <w:spacing w:before="480" w:after="240"/>
      </w:pPr>
      <w:r>
        <w:t>12</w:t>
      </w:r>
      <w:r w:rsidR="00E63D7F">
        <w:t>.</w:t>
      </w:r>
      <w:r>
        <w:t xml:space="preserve">  </w:t>
      </w:r>
      <w:r w:rsidR="00333FAA">
        <w:t>Financial Implications</w:t>
      </w:r>
    </w:p>
    <w:p w14:paraId="45D427B9" w14:textId="51116096" w:rsidR="00011782" w:rsidRDefault="001A1107" w:rsidP="0054590F">
      <w:r>
        <w:t xml:space="preserve">12.1 The Action Plan as detailed at Figure </w:t>
      </w:r>
      <w:r w:rsidR="00E81F0A">
        <w:t>4.1 (Playing Pitches) and 4.2 (Built Facilities) (pages 102-103)</w:t>
      </w:r>
      <w:r w:rsidR="005B5401">
        <w:t xml:space="preserve"> </w:t>
      </w:r>
      <w:r w:rsidR="00F52384">
        <w:t xml:space="preserve">of the Strategy </w:t>
      </w:r>
      <w:r w:rsidR="005B5401">
        <w:t xml:space="preserve">presents the priority projects, with further longer-term projects listed in Appendix </w:t>
      </w:r>
      <w:r w:rsidR="004A2D3C">
        <w:t xml:space="preserve">H. The Action Plan is a guide </w:t>
      </w:r>
      <w:r w:rsidR="00CD21D8">
        <w:t xml:space="preserve">to how facilities might be developed pending funding confirmation. </w:t>
      </w:r>
      <w:r w:rsidR="0003182A">
        <w:t>A number of project</w:t>
      </w:r>
      <w:r w:rsidR="00B22F8F">
        <w:t xml:space="preserve"> proposals are subject to design and cost analysis </w:t>
      </w:r>
      <w:r w:rsidR="00971504">
        <w:t>and for some projects</w:t>
      </w:r>
      <w:r w:rsidR="00622B63">
        <w:t>, such as future plans for Harrow Leisure Centre and Hatch End Pool,</w:t>
      </w:r>
      <w:r w:rsidR="00971504">
        <w:t xml:space="preserve"> </w:t>
      </w:r>
      <w:r w:rsidR="008B01B2">
        <w:t>feasibility testing and options appraisals</w:t>
      </w:r>
      <w:r w:rsidR="00977DB6">
        <w:t>.</w:t>
      </w:r>
    </w:p>
    <w:p w14:paraId="0E294AF2" w14:textId="77777777" w:rsidR="00011782" w:rsidRDefault="00011782" w:rsidP="0054590F"/>
    <w:p w14:paraId="1580A8F4" w14:textId="6655362C" w:rsidR="009D7D88" w:rsidRPr="009D7D88" w:rsidRDefault="00977DB6" w:rsidP="009D7D88">
      <w:r>
        <w:t xml:space="preserve">12.2 The delivery of the strategy is likely to require capital investment </w:t>
      </w:r>
      <w:r w:rsidR="00E472CA">
        <w:t xml:space="preserve">to meet its objectives. </w:t>
      </w:r>
      <w:r w:rsidR="009D7D88" w:rsidRPr="009D7D88">
        <w:t xml:space="preserve">Each proposed project will be assessed on a case-by-case basis to ensure that it is financially viable and is subject to a funding bid in accordance with the Council’s annual budget process. External funding opportunities will be explored to minimise the need for council borrowing. </w:t>
      </w:r>
    </w:p>
    <w:p w14:paraId="41D80CF8" w14:textId="1BB54E83" w:rsidR="00333FAA" w:rsidRPr="00303FD6" w:rsidRDefault="00CA7A28" w:rsidP="00A1211C">
      <w:pPr>
        <w:pStyle w:val="Heading3"/>
        <w:spacing w:before="480" w:after="240"/>
        <w:rPr>
          <w:color w:val="FF0000"/>
        </w:rPr>
      </w:pPr>
      <w:r>
        <w:t xml:space="preserve">13. </w:t>
      </w:r>
      <w:r w:rsidR="00333FAA" w:rsidRPr="004A2543">
        <w:t>Equalities implications</w:t>
      </w:r>
      <w:r w:rsidR="001C7E35">
        <w:t xml:space="preserve"> </w:t>
      </w:r>
      <w:r w:rsidR="00333FAA" w:rsidRPr="00333FAA">
        <w:t>/</w:t>
      </w:r>
      <w:r w:rsidR="001C7E35">
        <w:t xml:space="preserve"> </w:t>
      </w:r>
      <w:r w:rsidR="00333FAA" w:rsidRPr="00333FAA">
        <w:t>Public Sector Equality Duty</w:t>
      </w:r>
    </w:p>
    <w:p w14:paraId="0ADC65FB" w14:textId="4CE46F75" w:rsidR="00CA7A28" w:rsidRDefault="0000761D" w:rsidP="576EF44A">
      <w:pPr>
        <w:rPr>
          <w:szCs w:val="24"/>
        </w:rPr>
      </w:pPr>
      <w:r>
        <w:t xml:space="preserve">13. 1 </w:t>
      </w:r>
      <w:r w:rsidRPr="005D6C5D">
        <w:t xml:space="preserve">An Equalities Impact Assessment (EqIA) has been conducted (Appendix 1). The EqIA identified that the recommended option </w:t>
      </w:r>
      <w:r w:rsidRPr="005D6C5D">
        <w:rPr>
          <w:szCs w:val="24"/>
        </w:rPr>
        <w:t>would have a</w:t>
      </w:r>
      <w:r w:rsidR="00113059">
        <w:rPr>
          <w:szCs w:val="24"/>
        </w:rPr>
        <w:t xml:space="preserve"> positive</w:t>
      </w:r>
      <w:r w:rsidRPr="005D6C5D">
        <w:rPr>
          <w:szCs w:val="24"/>
        </w:rPr>
        <w:t xml:space="preserve"> impact on </w:t>
      </w:r>
      <w:r w:rsidR="00113059">
        <w:rPr>
          <w:szCs w:val="24"/>
        </w:rPr>
        <w:t>all ages, races and et</w:t>
      </w:r>
      <w:r w:rsidR="00332001">
        <w:rPr>
          <w:szCs w:val="24"/>
        </w:rPr>
        <w:t xml:space="preserve">hnicities, sexes, and those with a disability. </w:t>
      </w:r>
      <w:r w:rsidR="00AD6084">
        <w:rPr>
          <w:szCs w:val="24"/>
        </w:rPr>
        <w:t xml:space="preserve">The proposed strategy </w:t>
      </w:r>
      <w:r w:rsidR="00EE661A">
        <w:rPr>
          <w:szCs w:val="24"/>
        </w:rPr>
        <w:t xml:space="preserve">would provide the Council with a strategic plan to ensure that </w:t>
      </w:r>
      <w:r w:rsidR="00C34B00">
        <w:rPr>
          <w:szCs w:val="24"/>
        </w:rPr>
        <w:t xml:space="preserve">indoor and outdoor sports facilities meet the future </w:t>
      </w:r>
      <w:r w:rsidR="00A948B7">
        <w:rPr>
          <w:szCs w:val="24"/>
        </w:rPr>
        <w:t>community needs of all</w:t>
      </w:r>
      <w:r w:rsidR="006B2615">
        <w:rPr>
          <w:szCs w:val="24"/>
        </w:rPr>
        <w:t xml:space="preserve"> </w:t>
      </w:r>
      <w:r w:rsidR="00D16DCD">
        <w:rPr>
          <w:szCs w:val="24"/>
        </w:rPr>
        <w:t xml:space="preserve">these protected characteristics. No specific negative impact has been identified for any of the </w:t>
      </w:r>
      <w:r w:rsidR="009D341F">
        <w:rPr>
          <w:szCs w:val="24"/>
        </w:rPr>
        <w:t xml:space="preserve">protected characteristics. </w:t>
      </w:r>
    </w:p>
    <w:p w14:paraId="7B281976" w14:textId="77777777" w:rsidR="00473232" w:rsidRDefault="00473232" w:rsidP="576EF44A">
      <w:pPr>
        <w:rPr>
          <w:szCs w:val="24"/>
        </w:rPr>
      </w:pPr>
    </w:p>
    <w:p w14:paraId="7484D649" w14:textId="77777777" w:rsidR="00473232" w:rsidRPr="00CA7A28" w:rsidRDefault="00473232" w:rsidP="576EF44A">
      <w:pPr>
        <w:rPr>
          <w:color w:val="0000FF"/>
        </w:rPr>
      </w:pPr>
    </w:p>
    <w:p w14:paraId="735D81F2" w14:textId="1EFABF89" w:rsidR="00377569" w:rsidRPr="00AF31F7" w:rsidRDefault="00AB61B8" w:rsidP="00AF31F7">
      <w:pPr>
        <w:pStyle w:val="Heading4"/>
        <w:spacing w:before="480"/>
        <w:rPr>
          <w:sz w:val="28"/>
          <w:szCs w:val="28"/>
        </w:rPr>
      </w:pPr>
      <w:r>
        <w:rPr>
          <w:sz w:val="28"/>
          <w:szCs w:val="28"/>
        </w:rPr>
        <w:lastRenderedPageBreak/>
        <w:t xml:space="preserve">14. </w:t>
      </w:r>
      <w:r w:rsidR="00377569" w:rsidRPr="00AF31F7">
        <w:rPr>
          <w:sz w:val="28"/>
          <w:szCs w:val="28"/>
        </w:rPr>
        <w:t>Council Priorities</w:t>
      </w:r>
    </w:p>
    <w:p w14:paraId="654F216A" w14:textId="77777777" w:rsidR="00377569" w:rsidRDefault="00377569" w:rsidP="00377569">
      <w:pPr>
        <w:rPr>
          <w:rFonts w:cs="Arial"/>
          <w:szCs w:val="24"/>
          <w:lang w:val="en-US"/>
        </w:rPr>
      </w:pPr>
    </w:p>
    <w:p w14:paraId="6FA59096" w14:textId="49431370" w:rsidR="001B0341" w:rsidRDefault="00AB61B8" w:rsidP="00AB61B8">
      <w:pPr>
        <w:jc w:val="both"/>
        <w:rPr>
          <w:rFonts w:eastAsia="Calibri"/>
          <w:bCs/>
        </w:rPr>
      </w:pPr>
      <w:r>
        <w:rPr>
          <w:rFonts w:eastAsia="Calibri"/>
          <w:bCs/>
        </w:rPr>
        <w:t xml:space="preserve">14.1 The decision sought will support the Council’s </w:t>
      </w:r>
      <w:r w:rsidR="00C01332">
        <w:rPr>
          <w:rFonts w:eastAsia="Calibri"/>
          <w:bCs/>
        </w:rPr>
        <w:t>V</w:t>
      </w:r>
      <w:r>
        <w:rPr>
          <w:rFonts w:eastAsia="Calibri"/>
          <w:bCs/>
        </w:rPr>
        <w:t xml:space="preserve">ision </w:t>
      </w:r>
      <w:r w:rsidR="008D3AF2">
        <w:rPr>
          <w:rFonts w:eastAsia="Calibri"/>
          <w:bCs/>
        </w:rPr>
        <w:t xml:space="preserve">and Corporate Priorities. </w:t>
      </w:r>
      <w:r w:rsidR="00DA7141">
        <w:rPr>
          <w:rFonts w:eastAsia="Calibri"/>
          <w:bCs/>
        </w:rPr>
        <w:t xml:space="preserve">The new facilities strategy </w:t>
      </w:r>
      <w:r w:rsidR="00A32996">
        <w:rPr>
          <w:rFonts w:eastAsia="Calibri"/>
          <w:bCs/>
        </w:rPr>
        <w:t>will provide the strategic direction to improve Harrow’s sports infrastructure</w:t>
      </w:r>
      <w:r w:rsidR="0045221E">
        <w:rPr>
          <w:rFonts w:eastAsia="Calibri"/>
          <w:bCs/>
        </w:rPr>
        <w:t xml:space="preserve"> </w:t>
      </w:r>
      <w:r w:rsidR="00BB627A">
        <w:rPr>
          <w:rFonts w:eastAsia="Calibri"/>
          <w:bCs/>
        </w:rPr>
        <w:t>supporting the Council’s Vision to ‘Restore Pride in Harrow.’</w:t>
      </w:r>
      <w:r w:rsidR="00195FB3">
        <w:rPr>
          <w:rFonts w:eastAsia="Calibri"/>
          <w:bCs/>
        </w:rPr>
        <w:t xml:space="preserve"> The </w:t>
      </w:r>
      <w:r w:rsidR="00C33C8C">
        <w:rPr>
          <w:rFonts w:eastAsia="Calibri"/>
          <w:bCs/>
        </w:rPr>
        <w:t xml:space="preserve">implementation of the Action Plan will help deliver improved sporting facilities that residents </w:t>
      </w:r>
      <w:r w:rsidR="0026023C">
        <w:rPr>
          <w:rFonts w:eastAsia="Calibri"/>
          <w:bCs/>
        </w:rPr>
        <w:t xml:space="preserve">need supporting the delivery of the priorities of ‘A Council that puts residents first’ </w:t>
      </w:r>
      <w:r w:rsidR="009C1D75">
        <w:rPr>
          <w:rFonts w:eastAsia="Calibri"/>
          <w:bCs/>
        </w:rPr>
        <w:t xml:space="preserve">and ‘A borough that is clean and safe’. The delivery of the sporting </w:t>
      </w:r>
      <w:r w:rsidR="00965431">
        <w:rPr>
          <w:rFonts w:eastAsia="Calibri"/>
          <w:bCs/>
        </w:rPr>
        <w:t xml:space="preserve">facilities </w:t>
      </w:r>
      <w:r w:rsidR="00CC08F6">
        <w:rPr>
          <w:rFonts w:eastAsia="Calibri"/>
          <w:bCs/>
        </w:rPr>
        <w:t xml:space="preserve">detailed </w:t>
      </w:r>
      <w:r w:rsidR="00965431">
        <w:rPr>
          <w:rFonts w:eastAsia="Calibri"/>
          <w:bCs/>
        </w:rPr>
        <w:t xml:space="preserve">in the Action Plan will help improve </w:t>
      </w:r>
      <w:r w:rsidR="00CC08F6">
        <w:rPr>
          <w:rFonts w:eastAsia="Calibri"/>
          <w:bCs/>
        </w:rPr>
        <w:t xml:space="preserve">the </w:t>
      </w:r>
      <w:r w:rsidR="00965431">
        <w:rPr>
          <w:rFonts w:eastAsia="Calibri"/>
          <w:bCs/>
        </w:rPr>
        <w:t>health and well-being of resi</w:t>
      </w:r>
      <w:r w:rsidR="00C70EC6">
        <w:rPr>
          <w:rFonts w:eastAsia="Calibri"/>
          <w:bCs/>
        </w:rPr>
        <w:t>dents supporting the delivery of the priority of ‘A place where those in need are supported’.</w:t>
      </w:r>
    </w:p>
    <w:p w14:paraId="5514D939" w14:textId="5FA51E20" w:rsidR="00333FAA" w:rsidRDefault="00333FAA" w:rsidP="000B7C66">
      <w:pPr>
        <w:pStyle w:val="Heading2"/>
        <w:spacing w:before="480" w:after="240"/>
      </w:pPr>
      <w:r>
        <w:t>Se</w:t>
      </w:r>
      <w:r w:rsidR="00C70EC6">
        <w:t>c</w:t>
      </w:r>
      <w:r>
        <w:t>tion 3 - Statutory Officer Clearance</w:t>
      </w:r>
    </w:p>
    <w:p w14:paraId="3B5D52F9" w14:textId="18A1ECC8" w:rsidR="00A66326" w:rsidRPr="005420C1" w:rsidRDefault="00A66326" w:rsidP="00A66326">
      <w:pPr>
        <w:rPr>
          <w:bCs/>
          <w:sz w:val="28"/>
        </w:rPr>
      </w:pPr>
      <w:r w:rsidRPr="00A66326">
        <w:rPr>
          <w:b/>
          <w:sz w:val="28"/>
        </w:rPr>
        <w:t xml:space="preserve">Statutory Officer: </w:t>
      </w:r>
      <w:r w:rsidR="005420C1" w:rsidRPr="005420C1">
        <w:rPr>
          <w:bCs/>
          <w:sz w:val="28"/>
        </w:rPr>
        <w:t>Comie Campbell</w:t>
      </w:r>
      <w:r w:rsidRPr="005420C1">
        <w:rPr>
          <w:bCs/>
          <w:sz w:val="28"/>
        </w:rPr>
        <w:t xml:space="preserve"> </w:t>
      </w:r>
    </w:p>
    <w:p w14:paraId="33977AD6" w14:textId="2D4D8B67" w:rsidR="00A66326" w:rsidRPr="00F6659D" w:rsidRDefault="00A66326" w:rsidP="00A66326">
      <w:r w:rsidRPr="00A66326">
        <w:t>Signed on behalf of the Chief Financial Officer</w:t>
      </w:r>
    </w:p>
    <w:p w14:paraId="555021EF" w14:textId="13A6C6C3" w:rsidR="00A66326" w:rsidRPr="003C0A45" w:rsidRDefault="00A66326" w:rsidP="00A66326">
      <w:pPr>
        <w:spacing w:after="480"/>
        <w:rPr>
          <w:bCs/>
          <w:szCs w:val="24"/>
        </w:rPr>
      </w:pPr>
      <w:r w:rsidRPr="00A66326">
        <w:rPr>
          <w:b/>
          <w:sz w:val="28"/>
        </w:rPr>
        <w:t xml:space="preserve">Date:  </w:t>
      </w:r>
      <w:r w:rsidR="003C0A45">
        <w:rPr>
          <w:bCs/>
          <w:szCs w:val="24"/>
        </w:rPr>
        <w:t>16/01/24</w:t>
      </w:r>
    </w:p>
    <w:p w14:paraId="7E329E85" w14:textId="2AC900DA" w:rsidR="00A66326" w:rsidRPr="001258E6" w:rsidRDefault="00A66326" w:rsidP="00A66326">
      <w:pPr>
        <w:rPr>
          <w:bCs/>
          <w:sz w:val="28"/>
        </w:rPr>
      </w:pPr>
      <w:r w:rsidRPr="00A66326">
        <w:rPr>
          <w:b/>
          <w:sz w:val="28"/>
        </w:rPr>
        <w:t xml:space="preserve">Statutory Officer:  </w:t>
      </w:r>
      <w:r w:rsidR="00DF233E">
        <w:rPr>
          <w:bCs/>
          <w:sz w:val="28"/>
        </w:rPr>
        <w:t>Stephen Dorrian</w:t>
      </w:r>
    </w:p>
    <w:p w14:paraId="2DAA3CB1" w14:textId="1BED8BCF" w:rsidR="00A66326" w:rsidRPr="00F6659D" w:rsidRDefault="00A66326" w:rsidP="00F6659D">
      <w:r w:rsidRPr="00A66326">
        <w:t>Signed on behalf of the Monitoring Officer</w:t>
      </w:r>
    </w:p>
    <w:p w14:paraId="1AC0D358" w14:textId="59378E5F" w:rsidR="00A66326" w:rsidRPr="00D02CB7" w:rsidRDefault="00A66326" w:rsidP="00A66326">
      <w:pPr>
        <w:spacing w:after="480"/>
        <w:rPr>
          <w:bCs/>
          <w:szCs w:val="24"/>
        </w:rPr>
      </w:pPr>
      <w:r w:rsidRPr="00A66326">
        <w:rPr>
          <w:b/>
          <w:sz w:val="28"/>
        </w:rPr>
        <w:t xml:space="preserve">Date:  </w:t>
      </w:r>
      <w:r w:rsidR="00D02CB7">
        <w:rPr>
          <w:bCs/>
          <w:szCs w:val="24"/>
        </w:rPr>
        <w:t>15/01/24</w:t>
      </w:r>
    </w:p>
    <w:p w14:paraId="31D8FA55" w14:textId="4130DCB4" w:rsidR="00BF5AFA" w:rsidRPr="008637C1" w:rsidRDefault="00BF5AFA" w:rsidP="00BF5AFA">
      <w:pPr>
        <w:rPr>
          <w:bCs/>
          <w:sz w:val="28"/>
        </w:rPr>
      </w:pPr>
      <w:r>
        <w:rPr>
          <w:b/>
          <w:sz w:val="28"/>
        </w:rPr>
        <w:t>Chief</w:t>
      </w:r>
      <w:r w:rsidRPr="00A66326">
        <w:rPr>
          <w:b/>
          <w:sz w:val="28"/>
        </w:rPr>
        <w:t xml:space="preserve"> Officer:  </w:t>
      </w:r>
      <w:r w:rsidR="008637C1">
        <w:rPr>
          <w:bCs/>
          <w:sz w:val="28"/>
        </w:rPr>
        <w:t>Dipti Patel</w:t>
      </w:r>
    </w:p>
    <w:p w14:paraId="34A60057" w14:textId="415E4A7A" w:rsidR="00BF5AFA" w:rsidRPr="00F6659D" w:rsidRDefault="00BF5AFA" w:rsidP="00BF5AFA">
      <w:r w:rsidRPr="00A66326">
        <w:t xml:space="preserve">Signed </w:t>
      </w:r>
      <w:r>
        <w:t>off by the Corporate Director</w:t>
      </w:r>
    </w:p>
    <w:p w14:paraId="5F67CDF0" w14:textId="6B51CF34" w:rsidR="00BF5AFA" w:rsidRPr="00D2374B" w:rsidRDefault="00BF5AFA" w:rsidP="00BF5AFA">
      <w:pPr>
        <w:spacing w:after="480"/>
        <w:rPr>
          <w:bCs/>
          <w:szCs w:val="24"/>
        </w:rPr>
      </w:pPr>
      <w:r w:rsidRPr="00D2374B">
        <w:rPr>
          <w:b/>
          <w:sz w:val="28"/>
          <w:szCs w:val="28"/>
        </w:rPr>
        <w:t>Date:</w:t>
      </w:r>
      <w:r w:rsidRPr="00D2374B">
        <w:rPr>
          <w:b/>
          <w:szCs w:val="24"/>
        </w:rPr>
        <w:t xml:space="preserve">  </w:t>
      </w:r>
      <w:r w:rsidR="00D2374B" w:rsidRPr="00D2374B">
        <w:rPr>
          <w:bCs/>
          <w:szCs w:val="24"/>
        </w:rPr>
        <w:t>12/02/24</w:t>
      </w:r>
    </w:p>
    <w:p w14:paraId="2C546334" w14:textId="43081E61" w:rsidR="00BF5AFA" w:rsidRPr="000F2C14" w:rsidRDefault="00BF5AFA" w:rsidP="00BF5AFA">
      <w:pPr>
        <w:rPr>
          <w:bCs/>
          <w:sz w:val="28"/>
        </w:rPr>
      </w:pPr>
      <w:r>
        <w:rPr>
          <w:b/>
          <w:sz w:val="28"/>
        </w:rPr>
        <w:t>Head of Procurement</w:t>
      </w:r>
      <w:r w:rsidRPr="00A66326">
        <w:rPr>
          <w:b/>
          <w:sz w:val="28"/>
        </w:rPr>
        <w:t xml:space="preserve">:  </w:t>
      </w:r>
      <w:r w:rsidR="000F2C14">
        <w:rPr>
          <w:bCs/>
          <w:sz w:val="28"/>
        </w:rPr>
        <w:t>Nimesh Mehta</w:t>
      </w:r>
    </w:p>
    <w:p w14:paraId="399669DE" w14:textId="6245D08D" w:rsidR="00BF5AFA" w:rsidRPr="00F6659D" w:rsidRDefault="00BF5AFA" w:rsidP="00F6659D">
      <w:r w:rsidRPr="00A66326">
        <w:t xml:space="preserve">Signed by the </w:t>
      </w:r>
      <w:r>
        <w:t>Head of Procurement</w:t>
      </w:r>
    </w:p>
    <w:p w14:paraId="5A683B65" w14:textId="5140E04C" w:rsidR="00BF5AFA" w:rsidRPr="0091699C" w:rsidRDefault="00BF5AFA" w:rsidP="00BF5AFA">
      <w:pPr>
        <w:spacing w:after="480"/>
        <w:rPr>
          <w:bCs/>
          <w:szCs w:val="24"/>
        </w:rPr>
      </w:pPr>
      <w:r w:rsidRPr="00A66326">
        <w:rPr>
          <w:b/>
          <w:sz w:val="28"/>
        </w:rPr>
        <w:t xml:space="preserve">Date:  </w:t>
      </w:r>
      <w:r w:rsidR="0091699C">
        <w:rPr>
          <w:bCs/>
          <w:szCs w:val="24"/>
        </w:rPr>
        <w:t>12/01/24</w:t>
      </w:r>
    </w:p>
    <w:p w14:paraId="113297A5" w14:textId="2F6BD13B" w:rsidR="00BF5AFA" w:rsidRPr="000F2C14" w:rsidRDefault="00BF5AFA" w:rsidP="00BF5AFA">
      <w:pPr>
        <w:rPr>
          <w:bCs/>
          <w:sz w:val="28"/>
        </w:rPr>
      </w:pPr>
      <w:r>
        <w:rPr>
          <w:b/>
          <w:sz w:val="28"/>
        </w:rPr>
        <w:t>Head of Internal Audit</w:t>
      </w:r>
      <w:r w:rsidRPr="00A66326">
        <w:rPr>
          <w:b/>
          <w:sz w:val="28"/>
        </w:rPr>
        <w:t xml:space="preserve">:  </w:t>
      </w:r>
      <w:r w:rsidR="000F2C14">
        <w:rPr>
          <w:bCs/>
          <w:sz w:val="28"/>
        </w:rPr>
        <w:t>Neale Burns</w:t>
      </w:r>
    </w:p>
    <w:p w14:paraId="5CF04A24" w14:textId="07865C4B" w:rsidR="00BF5AFA" w:rsidRPr="00A66326" w:rsidRDefault="00BF5AFA" w:rsidP="00BF5AFA">
      <w:r w:rsidRPr="00A66326">
        <w:t>Signed on behalf o</w:t>
      </w:r>
      <w:r w:rsidR="00A35A6C">
        <w:t xml:space="preserve">f </w:t>
      </w:r>
      <w:r w:rsidRPr="00A66326">
        <w:t xml:space="preserve">the </w:t>
      </w:r>
      <w:r>
        <w:t>Head of Internal Audit</w:t>
      </w:r>
    </w:p>
    <w:p w14:paraId="04C352A5" w14:textId="68CB2253" w:rsidR="00F42E1E" w:rsidRPr="00F6659D" w:rsidRDefault="00BF5AFA" w:rsidP="00F6659D">
      <w:pPr>
        <w:pStyle w:val="Heading2"/>
        <w:spacing w:after="240"/>
        <w:rPr>
          <w:rFonts w:ascii="Arial" w:hAnsi="Arial"/>
          <w:b w:val="0"/>
          <w:bCs w:val="0"/>
          <w:sz w:val="24"/>
          <w:szCs w:val="24"/>
        </w:rPr>
      </w:pPr>
      <w:r w:rsidRPr="00F42E1E">
        <w:rPr>
          <w:rFonts w:ascii="Arial" w:hAnsi="Arial"/>
          <w:sz w:val="28"/>
        </w:rPr>
        <w:t>Date:</w:t>
      </w:r>
      <w:r w:rsidR="003A6BE7">
        <w:rPr>
          <w:rFonts w:ascii="Arial" w:hAnsi="Arial"/>
          <w:sz w:val="28"/>
        </w:rPr>
        <w:t xml:space="preserve"> </w:t>
      </w:r>
      <w:r w:rsidR="003A6BE7" w:rsidRPr="00473232">
        <w:rPr>
          <w:rFonts w:ascii="Arial" w:hAnsi="Arial"/>
          <w:b w:val="0"/>
          <w:bCs w:val="0"/>
          <w:sz w:val="24"/>
          <w:szCs w:val="24"/>
        </w:rPr>
        <w:t>31.01.24</w:t>
      </w:r>
    </w:p>
    <w:p w14:paraId="236185B6" w14:textId="42BC2762" w:rsidR="00F42E1E" w:rsidRPr="00F42E1E" w:rsidRDefault="00F42E1E" w:rsidP="00F42E1E">
      <w:r w:rsidRPr="005A6BCB">
        <w:rPr>
          <w:b/>
          <w:bCs/>
          <w:sz w:val="28"/>
        </w:rPr>
        <w:t xml:space="preserve">Has the Portfolio Holder(s) been consulted?  </w:t>
      </w:r>
      <w:r w:rsidRPr="00E63D7F">
        <w:rPr>
          <w:sz w:val="28"/>
        </w:rPr>
        <w:t xml:space="preserve">Yes </w:t>
      </w:r>
    </w:p>
    <w:p w14:paraId="45A19EC7" w14:textId="59434FDF" w:rsidR="003313EA" w:rsidRPr="00435B5D" w:rsidRDefault="003313EA" w:rsidP="00BF5AFA">
      <w:pPr>
        <w:pStyle w:val="Heading2"/>
        <w:spacing w:before="480" w:after="240"/>
      </w:pPr>
      <w:r>
        <w:t>Mandatory Checks</w:t>
      </w:r>
    </w:p>
    <w:p w14:paraId="64551188" w14:textId="0DB1F199" w:rsidR="003313EA" w:rsidRPr="00A406F3" w:rsidRDefault="003313EA" w:rsidP="003313EA">
      <w:pPr>
        <w:pStyle w:val="Heading3"/>
        <w:ind w:left="0" w:firstLine="0"/>
        <w:jc w:val="left"/>
      </w:pPr>
      <w:r w:rsidRPr="003313EA">
        <w:t xml:space="preserve">Ward Councillors </w:t>
      </w:r>
      <w:r>
        <w:t xml:space="preserve">notified:  </w:t>
      </w:r>
      <w:r w:rsidRPr="005543E7">
        <w:rPr>
          <w:b w:val="0"/>
          <w:bCs w:val="0"/>
        </w:rPr>
        <w:t>NO, as it impacts on all Wards</w:t>
      </w:r>
      <w:r w:rsidRPr="00A406F3">
        <w:t xml:space="preserve"> </w:t>
      </w:r>
    </w:p>
    <w:p w14:paraId="2A2D9472" w14:textId="13AA817B" w:rsidR="003313EA" w:rsidRPr="00202D79" w:rsidRDefault="003313EA" w:rsidP="003313EA">
      <w:pPr>
        <w:pStyle w:val="Heading3"/>
        <w:spacing w:before="240"/>
        <w:rPr>
          <w:b w:val="0"/>
        </w:rPr>
      </w:pPr>
      <w:r w:rsidRPr="00202D79">
        <w:t>EqIA carried out:</w:t>
      </w:r>
      <w:r>
        <w:t xml:space="preserve">  </w:t>
      </w:r>
      <w:r w:rsidRPr="00202D79">
        <w:t>YES</w:t>
      </w:r>
    </w:p>
    <w:p w14:paraId="6B589F3A" w14:textId="54EE06B9" w:rsidR="003313EA" w:rsidRPr="00E47B2B" w:rsidRDefault="003313EA" w:rsidP="00842757">
      <w:pPr>
        <w:pStyle w:val="Heading3"/>
        <w:spacing w:before="240"/>
        <w:jc w:val="left"/>
        <w:rPr>
          <w:b w:val="0"/>
          <w:bCs w:val="0"/>
          <w:color w:val="FF0000"/>
          <w:sz w:val="24"/>
          <w:szCs w:val="24"/>
        </w:rPr>
      </w:pPr>
      <w:r w:rsidRPr="00202D79">
        <w:t>EqIA cleared by:</w:t>
      </w:r>
      <w:r>
        <w:t xml:space="preserve">  </w:t>
      </w:r>
      <w:r w:rsidR="00E47B2B" w:rsidRPr="00E47B2B">
        <w:rPr>
          <w:b w:val="0"/>
          <w:bCs w:val="0"/>
          <w:sz w:val="24"/>
          <w:szCs w:val="24"/>
        </w:rPr>
        <w:t>Jennifer Rock</w:t>
      </w:r>
    </w:p>
    <w:p w14:paraId="41E16C55" w14:textId="77777777" w:rsidR="00333FAA" w:rsidRDefault="00333FAA" w:rsidP="00842757">
      <w:pPr>
        <w:pStyle w:val="Heading2"/>
        <w:spacing w:before="480" w:after="240"/>
      </w:pPr>
      <w:r>
        <w:lastRenderedPageBreak/>
        <w:t xml:space="preserve">Section </w:t>
      </w:r>
      <w:r w:rsidR="00A20113">
        <w:t>4</w:t>
      </w:r>
      <w:r>
        <w:t xml:space="preserve"> - Contact Details and Background Papers</w:t>
      </w:r>
    </w:p>
    <w:p w14:paraId="508551CE" w14:textId="77777777" w:rsidR="00413A4B" w:rsidRPr="009A18FB" w:rsidRDefault="00333FAA" w:rsidP="00413A4B">
      <w:pPr>
        <w:pStyle w:val="Infotext"/>
        <w:spacing w:after="240"/>
        <w:jc w:val="both"/>
        <w:rPr>
          <w:color w:val="000000" w:themeColor="text1"/>
          <w:sz w:val="24"/>
          <w:szCs w:val="24"/>
        </w:rPr>
      </w:pPr>
      <w:r w:rsidRPr="004E47FC">
        <w:rPr>
          <w:b/>
        </w:rPr>
        <w:t xml:space="preserve">Contact:  </w:t>
      </w:r>
      <w:r w:rsidR="00413A4B">
        <w:rPr>
          <w:color w:val="000000" w:themeColor="text1"/>
          <w:sz w:val="24"/>
          <w:szCs w:val="24"/>
        </w:rPr>
        <w:t xml:space="preserve">Tim Bryan – Head of Service, Culture and Leisure. Tel. 07917076800. Email: </w:t>
      </w:r>
      <w:hyperlink r:id="rId13" w:history="1">
        <w:r w:rsidR="00413A4B" w:rsidRPr="00D76A60">
          <w:rPr>
            <w:rStyle w:val="Hyperlink"/>
            <w:sz w:val="24"/>
            <w:szCs w:val="24"/>
          </w:rPr>
          <w:t>tim.bryan@harrow.gov.uk</w:t>
        </w:r>
      </w:hyperlink>
      <w:r w:rsidR="00413A4B">
        <w:rPr>
          <w:color w:val="000000" w:themeColor="text1"/>
          <w:sz w:val="24"/>
          <w:szCs w:val="24"/>
        </w:rPr>
        <w:t xml:space="preserve"> </w:t>
      </w:r>
    </w:p>
    <w:p w14:paraId="4868ED3F" w14:textId="3603DD7D" w:rsidR="005718B5" w:rsidRPr="00413A4B" w:rsidRDefault="00333FAA" w:rsidP="00413A4B">
      <w:pPr>
        <w:pStyle w:val="Infotext"/>
        <w:spacing w:after="240"/>
        <w:rPr>
          <w:bCs/>
        </w:rPr>
      </w:pPr>
      <w:r w:rsidRPr="004E47FC">
        <w:rPr>
          <w:b/>
        </w:rPr>
        <w:t xml:space="preserve">Background Papers: </w:t>
      </w:r>
      <w:r w:rsidR="005808FB">
        <w:rPr>
          <w:b/>
        </w:rPr>
        <w:t xml:space="preserve"> </w:t>
      </w:r>
      <w:r w:rsidR="00413A4B" w:rsidRPr="00413A4B">
        <w:rPr>
          <w:bCs/>
        </w:rPr>
        <w:t>None</w:t>
      </w:r>
    </w:p>
    <w:p w14:paraId="3CCA5C3B" w14:textId="08E3FC26" w:rsidR="000D4E36" w:rsidRPr="00F6659D" w:rsidRDefault="00842757" w:rsidP="00F6659D">
      <w:pPr>
        <w:pStyle w:val="Infotext"/>
        <w:spacing w:before="480"/>
        <w:rPr>
          <w:rFonts w:cs="Arial"/>
          <w:iCs/>
          <w:sz w:val="24"/>
          <w:szCs w:val="24"/>
          <w:lang w:eastAsia="en-GB"/>
        </w:rPr>
      </w:pPr>
      <w:r>
        <w:rPr>
          <w:rFonts w:ascii="Arial Black" w:hAnsi="Arial Black"/>
        </w:rPr>
        <w:t>Call-in w</w:t>
      </w:r>
      <w:r w:rsidRPr="007C0DC3">
        <w:rPr>
          <w:rFonts w:ascii="Arial Black" w:hAnsi="Arial Black"/>
        </w:rPr>
        <w:t>aived by the Chair of Overview and Scrutiny Committee</w:t>
      </w:r>
      <w:r w:rsidR="00F6659D">
        <w:rPr>
          <w:iCs/>
          <w:sz w:val="24"/>
          <w:szCs w:val="24"/>
        </w:rPr>
        <w:t xml:space="preserve">: </w:t>
      </w:r>
      <w:r w:rsidR="00F6659D" w:rsidRPr="00F6659D">
        <w:rPr>
          <w:b/>
          <w:bCs/>
          <w:iCs/>
          <w:sz w:val="24"/>
          <w:szCs w:val="24"/>
        </w:rPr>
        <w:t>No</w:t>
      </w:r>
    </w:p>
    <w:sectPr w:rsidR="000D4E36" w:rsidRPr="00F6659D" w:rsidSect="001614E0">
      <w:footerReference w:type="default" r:id="rId14"/>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EC417" w14:textId="77777777" w:rsidR="00191B6E" w:rsidRDefault="00191B6E">
      <w:r>
        <w:separator/>
      </w:r>
    </w:p>
  </w:endnote>
  <w:endnote w:type="continuationSeparator" w:id="0">
    <w:p w14:paraId="3D57ACDE" w14:textId="77777777" w:rsidR="00191B6E" w:rsidRDefault="0019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1048D" w14:textId="2DDA5E67" w:rsidR="00E34C86" w:rsidRDefault="00E34C86">
    <w:pPr>
      <w:pStyle w:val="Footer"/>
      <w:jc w:val="right"/>
    </w:pPr>
  </w:p>
  <w:p w14:paraId="1D47CFF1" w14:textId="77777777" w:rsidR="00E34C86" w:rsidRDefault="00E34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BBAD8" w14:textId="77777777" w:rsidR="00191B6E" w:rsidRDefault="00191B6E">
      <w:r>
        <w:separator/>
      </w:r>
    </w:p>
  </w:footnote>
  <w:footnote w:type="continuationSeparator" w:id="0">
    <w:p w14:paraId="6E0B3E49" w14:textId="77777777" w:rsidR="00191B6E" w:rsidRDefault="00191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E73"/>
    <w:multiLevelType w:val="multilevel"/>
    <w:tmpl w:val="64A8F040"/>
    <w:lvl w:ilvl="0">
      <w:start w:val="1"/>
      <w:numFmt w:val="decimal"/>
      <w:lvlText w:val="%1."/>
      <w:lvlJc w:val="left"/>
      <w:pPr>
        <w:ind w:left="720" w:hanging="360"/>
      </w:pPr>
      <w:rPr>
        <w:rFonts w:hint="default"/>
        <w:sz w:val="28"/>
        <w:szCs w:val="28"/>
      </w:rPr>
    </w:lvl>
    <w:lvl w:ilvl="1">
      <w:start w:val="2"/>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4C6D4D"/>
    <w:multiLevelType w:val="hybridMultilevel"/>
    <w:tmpl w:val="E73212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633AA"/>
    <w:multiLevelType w:val="hybridMultilevel"/>
    <w:tmpl w:val="6C12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AF72E99"/>
    <w:multiLevelType w:val="multilevel"/>
    <w:tmpl w:val="ADDC53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E903F91"/>
    <w:multiLevelType w:val="hybridMultilevel"/>
    <w:tmpl w:val="DB68C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FE31E7"/>
    <w:multiLevelType w:val="multilevel"/>
    <w:tmpl w:val="72A8127C"/>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o"/>
      <w:lvlJc w:val="left"/>
      <w:pPr>
        <w:ind w:left="1800" w:hanging="360"/>
      </w:pPr>
      <w:rPr>
        <w:rFonts w:ascii="Courier New" w:hAnsi="Courier New" w:cs="Courier New"/>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262F0B33"/>
    <w:multiLevelType w:val="multilevel"/>
    <w:tmpl w:val="B7D61F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7915E4"/>
    <w:multiLevelType w:val="hybridMultilevel"/>
    <w:tmpl w:val="5650913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091EB8"/>
    <w:multiLevelType w:val="multilevel"/>
    <w:tmpl w:val="7B10AC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8F37AFC"/>
    <w:multiLevelType w:val="hybridMultilevel"/>
    <w:tmpl w:val="AAF4E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7571E80"/>
    <w:multiLevelType w:val="hybridMultilevel"/>
    <w:tmpl w:val="B2C6E9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2862A9"/>
    <w:multiLevelType w:val="hybridMultilevel"/>
    <w:tmpl w:val="605AD32E"/>
    <w:lvl w:ilvl="0" w:tplc="8A60168E">
      <w:start w:val="1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1E1CAB"/>
    <w:multiLevelType w:val="hybridMultilevel"/>
    <w:tmpl w:val="F0AE0A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537F60"/>
    <w:multiLevelType w:val="hybridMultilevel"/>
    <w:tmpl w:val="DADE2F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0001D5"/>
    <w:multiLevelType w:val="multilevel"/>
    <w:tmpl w:val="D46A7F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BDD0096"/>
    <w:multiLevelType w:val="hybridMultilevel"/>
    <w:tmpl w:val="38929D5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E72DD4"/>
    <w:multiLevelType w:val="hybridMultilevel"/>
    <w:tmpl w:val="E7CE6CC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A32D92"/>
    <w:multiLevelType w:val="hybridMultilevel"/>
    <w:tmpl w:val="A2202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4060F1"/>
    <w:multiLevelType w:val="multilevel"/>
    <w:tmpl w:val="F7DC3F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58F4E3C"/>
    <w:multiLevelType w:val="multilevel"/>
    <w:tmpl w:val="2FB248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7000C42"/>
    <w:multiLevelType w:val="multilevel"/>
    <w:tmpl w:val="F7DC3F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E4A3BA8"/>
    <w:multiLevelType w:val="multilevel"/>
    <w:tmpl w:val="BBEE4E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397167230">
    <w:abstractNumId w:val="8"/>
  </w:num>
  <w:num w:numId="2" w16cid:durableId="1276059689">
    <w:abstractNumId w:val="12"/>
  </w:num>
  <w:num w:numId="3" w16cid:durableId="1266617340">
    <w:abstractNumId w:val="3"/>
  </w:num>
  <w:num w:numId="4" w16cid:durableId="308706256">
    <w:abstractNumId w:val="21"/>
  </w:num>
  <w:num w:numId="5" w16cid:durableId="1341591366">
    <w:abstractNumId w:val="14"/>
  </w:num>
  <w:num w:numId="6" w16cid:durableId="333185153">
    <w:abstractNumId w:val="13"/>
  </w:num>
  <w:num w:numId="7" w16cid:durableId="1102846401">
    <w:abstractNumId w:val="23"/>
  </w:num>
  <w:num w:numId="8" w16cid:durableId="977032139">
    <w:abstractNumId w:val="0"/>
  </w:num>
  <w:num w:numId="9" w16cid:durableId="1197546261">
    <w:abstractNumId w:val="26"/>
  </w:num>
  <w:num w:numId="10" w16cid:durableId="229311494">
    <w:abstractNumId w:val="1"/>
  </w:num>
  <w:num w:numId="11" w16cid:durableId="1480461412">
    <w:abstractNumId w:val="24"/>
  </w:num>
  <w:num w:numId="12" w16cid:durableId="499321128">
    <w:abstractNumId w:val="22"/>
  </w:num>
  <w:num w:numId="13" w16cid:durableId="1098939238">
    <w:abstractNumId w:val="11"/>
  </w:num>
  <w:num w:numId="14" w16cid:durableId="570233987">
    <w:abstractNumId w:val="2"/>
  </w:num>
  <w:num w:numId="15" w16cid:durableId="1428429202">
    <w:abstractNumId w:val="5"/>
  </w:num>
  <w:num w:numId="16" w16cid:durableId="2020891415">
    <w:abstractNumId w:val="15"/>
  </w:num>
  <w:num w:numId="17" w16cid:durableId="1178041514">
    <w:abstractNumId w:val="17"/>
  </w:num>
  <w:num w:numId="18" w16cid:durableId="409887879">
    <w:abstractNumId w:val="20"/>
  </w:num>
  <w:num w:numId="19" w16cid:durableId="47532352">
    <w:abstractNumId w:val="18"/>
  </w:num>
  <w:num w:numId="20" w16cid:durableId="168302569">
    <w:abstractNumId w:val="6"/>
  </w:num>
  <w:num w:numId="21" w16cid:durableId="2063601670">
    <w:abstractNumId w:val="19"/>
  </w:num>
  <w:num w:numId="22" w16cid:durableId="1756782575">
    <w:abstractNumId w:val="7"/>
  </w:num>
  <w:num w:numId="23" w16cid:durableId="800853688">
    <w:abstractNumId w:val="25"/>
  </w:num>
  <w:num w:numId="24" w16cid:durableId="1834295071">
    <w:abstractNumId w:val="27"/>
  </w:num>
  <w:num w:numId="25" w16cid:durableId="812530025">
    <w:abstractNumId w:val="4"/>
  </w:num>
  <w:num w:numId="26" w16cid:durableId="261187619">
    <w:abstractNumId w:val="10"/>
  </w:num>
  <w:num w:numId="27" w16cid:durableId="1704282384">
    <w:abstractNumId w:val="9"/>
  </w:num>
  <w:num w:numId="28" w16cid:durableId="155917238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73D2"/>
    <w:rsid w:val="0000761D"/>
    <w:rsid w:val="00011782"/>
    <w:rsid w:val="00013C95"/>
    <w:rsid w:val="00016035"/>
    <w:rsid w:val="00021F65"/>
    <w:rsid w:val="00022892"/>
    <w:rsid w:val="0002436B"/>
    <w:rsid w:val="0003182A"/>
    <w:rsid w:val="000331E5"/>
    <w:rsid w:val="00037E6C"/>
    <w:rsid w:val="0004029A"/>
    <w:rsid w:val="00043A4E"/>
    <w:rsid w:val="00046590"/>
    <w:rsid w:val="000474E3"/>
    <w:rsid w:val="00057644"/>
    <w:rsid w:val="0006034E"/>
    <w:rsid w:val="00060AEB"/>
    <w:rsid w:val="0006155F"/>
    <w:rsid w:val="00063783"/>
    <w:rsid w:val="00071C22"/>
    <w:rsid w:val="00073765"/>
    <w:rsid w:val="00073D7B"/>
    <w:rsid w:val="0008414A"/>
    <w:rsid w:val="000918B2"/>
    <w:rsid w:val="000929A6"/>
    <w:rsid w:val="00093D8C"/>
    <w:rsid w:val="00095FA1"/>
    <w:rsid w:val="000A30FC"/>
    <w:rsid w:val="000A6D1C"/>
    <w:rsid w:val="000B0F8A"/>
    <w:rsid w:val="000B2D01"/>
    <w:rsid w:val="000B3019"/>
    <w:rsid w:val="000B5015"/>
    <w:rsid w:val="000B6DE4"/>
    <w:rsid w:val="000B788F"/>
    <w:rsid w:val="000B7C66"/>
    <w:rsid w:val="000C195A"/>
    <w:rsid w:val="000C2A4E"/>
    <w:rsid w:val="000C51F2"/>
    <w:rsid w:val="000D4E36"/>
    <w:rsid w:val="000E4344"/>
    <w:rsid w:val="000E62FE"/>
    <w:rsid w:val="000E7D8A"/>
    <w:rsid w:val="000F2C14"/>
    <w:rsid w:val="000F2D16"/>
    <w:rsid w:val="00102119"/>
    <w:rsid w:val="00102D82"/>
    <w:rsid w:val="00103021"/>
    <w:rsid w:val="00104BA4"/>
    <w:rsid w:val="00105B8A"/>
    <w:rsid w:val="001121BE"/>
    <w:rsid w:val="00112423"/>
    <w:rsid w:val="00113059"/>
    <w:rsid w:val="001161E4"/>
    <w:rsid w:val="001168C7"/>
    <w:rsid w:val="001258E6"/>
    <w:rsid w:val="00125A26"/>
    <w:rsid w:val="00125C8C"/>
    <w:rsid w:val="00126706"/>
    <w:rsid w:val="001278A5"/>
    <w:rsid w:val="00127DFD"/>
    <w:rsid w:val="0013414E"/>
    <w:rsid w:val="00134C37"/>
    <w:rsid w:val="00141DFA"/>
    <w:rsid w:val="00143B34"/>
    <w:rsid w:val="001472A8"/>
    <w:rsid w:val="00150007"/>
    <w:rsid w:val="00153392"/>
    <w:rsid w:val="0015376F"/>
    <w:rsid w:val="001614E0"/>
    <w:rsid w:val="00162694"/>
    <w:rsid w:val="00171BD8"/>
    <w:rsid w:val="0017624B"/>
    <w:rsid w:val="0017653E"/>
    <w:rsid w:val="00180426"/>
    <w:rsid w:val="001807F9"/>
    <w:rsid w:val="001820A6"/>
    <w:rsid w:val="00182B01"/>
    <w:rsid w:val="001840D2"/>
    <w:rsid w:val="00191B6E"/>
    <w:rsid w:val="00195FB3"/>
    <w:rsid w:val="001966D7"/>
    <w:rsid w:val="001A1107"/>
    <w:rsid w:val="001A2839"/>
    <w:rsid w:val="001A4495"/>
    <w:rsid w:val="001B0341"/>
    <w:rsid w:val="001C4740"/>
    <w:rsid w:val="001C4D2E"/>
    <w:rsid w:val="001C709F"/>
    <w:rsid w:val="001C7917"/>
    <w:rsid w:val="001C7E35"/>
    <w:rsid w:val="001D3ADD"/>
    <w:rsid w:val="001D60AA"/>
    <w:rsid w:val="001D63DA"/>
    <w:rsid w:val="001E050E"/>
    <w:rsid w:val="001E3C06"/>
    <w:rsid w:val="001E7ACB"/>
    <w:rsid w:val="001F0037"/>
    <w:rsid w:val="001F0BE9"/>
    <w:rsid w:val="001F2217"/>
    <w:rsid w:val="00202D79"/>
    <w:rsid w:val="00203170"/>
    <w:rsid w:val="00204577"/>
    <w:rsid w:val="00205D2F"/>
    <w:rsid w:val="00207AB4"/>
    <w:rsid w:val="002116AA"/>
    <w:rsid w:val="002129B6"/>
    <w:rsid w:val="00212A04"/>
    <w:rsid w:val="00215BE5"/>
    <w:rsid w:val="00215E8F"/>
    <w:rsid w:val="00221A93"/>
    <w:rsid w:val="0022253F"/>
    <w:rsid w:val="00222E9B"/>
    <w:rsid w:val="00223256"/>
    <w:rsid w:val="00223DBA"/>
    <w:rsid w:val="00224EFD"/>
    <w:rsid w:val="002322BB"/>
    <w:rsid w:val="00234782"/>
    <w:rsid w:val="00242FA8"/>
    <w:rsid w:val="00244F67"/>
    <w:rsid w:val="002503F6"/>
    <w:rsid w:val="00251254"/>
    <w:rsid w:val="00253759"/>
    <w:rsid w:val="002548D1"/>
    <w:rsid w:val="0025756C"/>
    <w:rsid w:val="0026023C"/>
    <w:rsid w:val="00264460"/>
    <w:rsid w:val="00264D58"/>
    <w:rsid w:val="00271CB6"/>
    <w:rsid w:val="00271D94"/>
    <w:rsid w:val="0027283B"/>
    <w:rsid w:val="00277052"/>
    <w:rsid w:val="0028019B"/>
    <w:rsid w:val="002813C7"/>
    <w:rsid w:val="00282E73"/>
    <w:rsid w:val="00283CAB"/>
    <w:rsid w:val="0028525A"/>
    <w:rsid w:val="00287F5E"/>
    <w:rsid w:val="002A2F24"/>
    <w:rsid w:val="002A34C7"/>
    <w:rsid w:val="002A3FEF"/>
    <w:rsid w:val="002B060E"/>
    <w:rsid w:val="002B54A6"/>
    <w:rsid w:val="002B5791"/>
    <w:rsid w:val="002C3A61"/>
    <w:rsid w:val="002D0B57"/>
    <w:rsid w:val="002D0CC9"/>
    <w:rsid w:val="002E3CD0"/>
    <w:rsid w:val="002E3EF5"/>
    <w:rsid w:val="002F3EE9"/>
    <w:rsid w:val="00307C10"/>
    <w:rsid w:val="00307F76"/>
    <w:rsid w:val="00321FBB"/>
    <w:rsid w:val="00322F26"/>
    <w:rsid w:val="0032372E"/>
    <w:rsid w:val="003243C0"/>
    <w:rsid w:val="00330832"/>
    <w:rsid w:val="003313EA"/>
    <w:rsid w:val="00332001"/>
    <w:rsid w:val="00333FAA"/>
    <w:rsid w:val="003355D7"/>
    <w:rsid w:val="003372A8"/>
    <w:rsid w:val="00341A08"/>
    <w:rsid w:val="00345427"/>
    <w:rsid w:val="00350F65"/>
    <w:rsid w:val="0036201C"/>
    <w:rsid w:val="00363C61"/>
    <w:rsid w:val="00365B5F"/>
    <w:rsid w:val="0037310B"/>
    <w:rsid w:val="00376768"/>
    <w:rsid w:val="00377569"/>
    <w:rsid w:val="00380F87"/>
    <w:rsid w:val="00396246"/>
    <w:rsid w:val="003A257A"/>
    <w:rsid w:val="003A6BE7"/>
    <w:rsid w:val="003A795A"/>
    <w:rsid w:val="003B2604"/>
    <w:rsid w:val="003B7F9B"/>
    <w:rsid w:val="003C0A45"/>
    <w:rsid w:val="003C270D"/>
    <w:rsid w:val="003C3B2C"/>
    <w:rsid w:val="003D2C01"/>
    <w:rsid w:val="003E354E"/>
    <w:rsid w:val="003E560F"/>
    <w:rsid w:val="003F200F"/>
    <w:rsid w:val="003F3AFD"/>
    <w:rsid w:val="00403D18"/>
    <w:rsid w:val="004076C8"/>
    <w:rsid w:val="0041174C"/>
    <w:rsid w:val="00412008"/>
    <w:rsid w:val="00413A4B"/>
    <w:rsid w:val="0041406A"/>
    <w:rsid w:val="004207E3"/>
    <w:rsid w:val="004212D1"/>
    <w:rsid w:val="00421A4C"/>
    <w:rsid w:val="0042339B"/>
    <w:rsid w:val="004238C2"/>
    <w:rsid w:val="00425FC4"/>
    <w:rsid w:val="00425FE1"/>
    <w:rsid w:val="00435B5D"/>
    <w:rsid w:val="004363F7"/>
    <w:rsid w:val="004376C9"/>
    <w:rsid w:val="00441F9E"/>
    <w:rsid w:val="0044213A"/>
    <w:rsid w:val="0044525C"/>
    <w:rsid w:val="004452C0"/>
    <w:rsid w:val="00446057"/>
    <w:rsid w:val="004477F7"/>
    <w:rsid w:val="0045221E"/>
    <w:rsid w:val="00452A38"/>
    <w:rsid w:val="00454781"/>
    <w:rsid w:val="004553F1"/>
    <w:rsid w:val="00456F0D"/>
    <w:rsid w:val="0046412E"/>
    <w:rsid w:val="004679B5"/>
    <w:rsid w:val="00471C1F"/>
    <w:rsid w:val="00473232"/>
    <w:rsid w:val="004809FA"/>
    <w:rsid w:val="00481639"/>
    <w:rsid w:val="00483169"/>
    <w:rsid w:val="0048795C"/>
    <w:rsid w:val="00494FB8"/>
    <w:rsid w:val="004A0773"/>
    <w:rsid w:val="004A2D3C"/>
    <w:rsid w:val="004A76D3"/>
    <w:rsid w:val="004B02E7"/>
    <w:rsid w:val="004C2D09"/>
    <w:rsid w:val="004C3449"/>
    <w:rsid w:val="004C4A75"/>
    <w:rsid w:val="004C6DFF"/>
    <w:rsid w:val="004D2DA0"/>
    <w:rsid w:val="004D6D3D"/>
    <w:rsid w:val="004E14A4"/>
    <w:rsid w:val="004E25B5"/>
    <w:rsid w:val="004E2921"/>
    <w:rsid w:val="004E5DEB"/>
    <w:rsid w:val="004E7F41"/>
    <w:rsid w:val="004F54BD"/>
    <w:rsid w:val="004F56C5"/>
    <w:rsid w:val="00501BA2"/>
    <w:rsid w:val="00506185"/>
    <w:rsid w:val="00513C0D"/>
    <w:rsid w:val="00516DD0"/>
    <w:rsid w:val="00521948"/>
    <w:rsid w:val="00533AD6"/>
    <w:rsid w:val="005354D0"/>
    <w:rsid w:val="00536A95"/>
    <w:rsid w:val="0054172C"/>
    <w:rsid w:val="00541893"/>
    <w:rsid w:val="005420C1"/>
    <w:rsid w:val="0054590F"/>
    <w:rsid w:val="005459EC"/>
    <w:rsid w:val="00552A9E"/>
    <w:rsid w:val="005543E7"/>
    <w:rsid w:val="005619AA"/>
    <w:rsid w:val="00563EA4"/>
    <w:rsid w:val="00565A31"/>
    <w:rsid w:val="005718B5"/>
    <w:rsid w:val="005755A8"/>
    <w:rsid w:val="005808FB"/>
    <w:rsid w:val="005811F8"/>
    <w:rsid w:val="00582605"/>
    <w:rsid w:val="00591016"/>
    <w:rsid w:val="00591542"/>
    <w:rsid w:val="00594F32"/>
    <w:rsid w:val="005A00F0"/>
    <w:rsid w:val="005A2064"/>
    <w:rsid w:val="005A323A"/>
    <w:rsid w:val="005A4EC5"/>
    <w:rsid w:val="005A5B40"/>
    <w:rsid w:val="005A6813"/>
    <w:rsid w:val="005A6867"/>
    <w:rsid w:val="005B3F67"/>
    <w:rsid w:val="005B5401"/>
    <w:rsid w:val="005C6B68"/>
    <w:rsid w:val="005C7610"/>
    <w:rsid w:val="005D548F"/>
    <w:rsid w:val="005D6EF5"/>
    <w:rsid w:val="005E0CD8"/>
    <w:rsid w:val="005E3A10"/>
    <w:rsid w:val="005E42BC"/>
    <w:rsid w:val="005E5DA1"/>
    <w:rsid w:val="005E6189"/>
    <w:rsid w:val="005E7509"/>
    <w:rsid w:val="00601D7F"/>
    <w:rsid w:val="00605A4C"/>
    <w:rsid w:val="00615875"/>
    <w:rsid w:val="00622B63"/>
    <w:rsid w:val="0062315D"/>
    <w:rsid w:val="006261F4"/>
    <w:rsid w:val="00627521"/>
    <w:rsid w:val="0063457F"/>
    <w:rsid w:val="00640A22"/>
    <w:rsid w:val="00645B8B"/>
    <w:rsid w:val="00645E62"/>
    <w:rsid w:val="00655044"/>
    <w:rsid w:val="00656982"/>
    <w:rsid w:val="00661673"/>
    <w:rsid w:val="006648D5"/>
    <w:rsid w:val="00664DB2"/>
    <w:rsid w:val="00666922"/>
    <w:rsid w:val="00670F17"/>
    <w:rsid w:val="006710C7"/>
    <w:rsid w:val="0067517B"/>
    <w:rsid w:val="00676870"/>
    <w:rsid w:val="006772B8"/>
    <w:rsid w:val="006815D2"/>
    <w:rsid w:val="0069099F"/>
    <w:rsid w:val="00696A83"/>
    <w:rsid w:val="006A10B2"/>
    <w:rsid w:val="006A23BF"/>
    <w:rsid w:val="006A5431"/>
    <w:rsid w:val="006B1A74"/>
    <w:rsid w:val="006B2615"/>
    <w:rsid w:val="006C0356"/>
    <w:rsid w:val="006C0788"/>
    <w:rsid w:val="006C198A"/>
    <w:rsid w:val="006C580A"/>
    <w:rsid w:val="006D1E69"/>
    <w:rsid w:val="006D44A2"/>
    <w:rsid w:val="006E53CF"/>
    <w:rsid w:val="006E73DC"/>
    <w:rsid w:val="006E77D5"/>
    <w:rsid w:val="006E7914"/>
    <w:rsid w:val="006F057C"/>
    <w:rsid w:val="006F22DA"/>
    <w:rsid w:val="006F2EB3"/>
    <w:rsid w:val="006F4BEE"/>
    <w:rsid w:val="006F6617"/>
    <w:rsid w:val="006F79F1"/>
    <w:rsid w:val="007034DC"/>
    <w:rsid w:val="007112D1"/>
    <w:rsid w:val="007116B1"/>
    <w:rsid w:val="00714BEE"/>
    <w:rsid w:val="00721215"/>
    <w:rsid w:val="00726D94"/>
    <w:rsid w:val="00731FC9"/>
    <w:rsid w:val="00733490"/>
    <w:rsid w:val="00737703"/>
    <w:rsid w:val="007400CF"/>
    <w:rsid w:val="00741D14"/>
    <w:rsid w:val="00742D60"/>
    <w:rsid w:val="007433BA"/>
    <w:rsid w:val="00743EBF"/>
    <w:rsid w:val="00760B4B"/>
    <w:rsid w:val="00765BBB"/>
    <w:rsid w:val="00775263"/>
    <w:rsid w:val="00777053"/>
    <w:rsid w:val="00781B03"/>
    <w:rsid w:val="00785945"/>
    <w:rsid w:val="00791963"/>
    <w:rsid w:val="00791BC9"/>
    <w:rsid w:val="00796084"/>
    <w:rsid w:val="007A047D"/>
    <w:rsid w:val="007B133B"/>
    <w:rsid w:val="007B23FC"/>
    <w:rsid w:val="007C4F59"/>
    <w:rsid w:val="007D0C1D"/>
    <w:rsid w:val="007D2000"/>
    <w:rsid w:val="007D4DBF"/>
    <w:rsid w:val="007D7734"/>
    <w:rsid w:val="007E4732"/>
    <w:rsid w:val="007E49C0"/>
    <w:rsid w:val="007E4BA4"/>
    <w:rsid w:val="007F004E"/>
    <w:rsid w:val="007F0255"/>
    <w:rsid w:val="007F335A"/>
    <w:rsid w:val="007F5704"/>
    <w:rsid w:val="007F6D81"/>
    <w:rsid w:val="00803104"/>
    <w:rsid w:val="00805C07"/>
    <w:rsid w:val="00806DDC"/>
    <w:rsid w:val="00812901"/>
    <w:rsid w:val="0081750C"/>
    <w:rsid w:val="008206F7"/>
    <w:rsid w:val="00820AB9"/>
    <w:rsid w:val="00823B91"/>
    <w:rsid w:val="00826B9A"/>
    <w:rsid w:val="008272EE"/>
    <w:rsid w:val="00835C01"/>
    <w:rsid w:val="0084047E"/>
    <w:rsid w:val="00840647"/>
    <w:rsid w:val="00842757"/>
    <w:rsid w:val="0084309D"/>
    <w:rsid w:val="00843CC2"/>
    <w:rsid w:val="00843DCC"/>
    <w:rsid w:val="00847113"/>
    <w:rsid w:val="008513BD"/>
    <w:rsid w:val="0085266D"/>
    <w:rsid w:val="00854656"/>
    <w:rsid w:val="008637C1"/>
    <w:rsid w:val="008645EC"/>
    <w:rsid w:val="008651D7"/>
    <w:rsid w:val="008674B6"/>
    <w:rsid w:val="00867522"/>
    <w:rsid w:val="008731E3"/>
    <w:rsid w:val="00873B6C"/>
    <w:rsid w:val="0088165F"/>
    <w:rsid w:val="00887E09"/>
    <w:rsid w:val="008910E1"/>
    <w:rsid w:val="00894A34"/>
    <w:rsid w:val="008A5AA0"/>
    <w:rsid w:val="008B01B2"/>
    <w:rsid w:val="008C4B9F"/>
    <w:rsid w:val="008C54E2"/>
    <w:rsid w:val="008D0409"/>
    <w:rsid w:val="008D09C9"/>
    <w:rsid w:val="008D3AF2"/>
    <w:rsid w:val="008E224D"/>
    <w:rsid w:val="008F1455"/>
    <w:rsid w:val="009005F6"/>
    <w:rsid w:val="00901067"/>
    <w:rsid w:val="00905187"/>
    <w:rsid w:val="00912957"/>
    <w:rsid w:val="0091562C"/>
    <w:rsid w:val="0091699C"/>
    <w:rsid w:val="00920101"/>
    <w:rsid w:val="00924C2C"/>
    <w:rsid w:val="009252B8"/>
    <w:rsid w:val="0092530B"/>
    <w:rsid w:val="00931376"/>
    <w:rsid w:val="00931972"/>
    <w:rsid w:val="00933E12"/>
    <w:rsid w:val="009341A6"/>
    <w:rsid w:val="00935CB3"/>
    <w:rsid w:val="009401DB"/>
    <w:rsid w:val="0094208C"/>
    <w:rsid w:val="009423FB"/>
    <w:rsid w:val="00942F17"/>
    <w:rsid w:val="00943236"/>
    <w:rsid w:val="00947DF9"/>
    <w:rsid w:val="00951A10"/>
    <w:rsid w:val="00952CEF"/>
    <w:rsid w:val="00955421"/>
    <w:rsid w:val="009578CD"/>
    <w:rsid w:val="00964314"/>
    <w:rsid w:val="00965431"/>
    <w:rsid w:val="009658B8"/>
    <w:rsid w:val="00970962"/>
    <w:rsid w:val="00971504"/>
    <w:rsid w:val="009738AB"/>
    <w:rsid w:val="00974CA3"/>
    <w:rsid w:val="00977DB6"/>
    <w:rsid w:val="00980476"/>
    <w:rsid w:val="00980A8F"/>
    <w:rsid w:val="009817F2"/>
    <w:rsid w:val="0098238A"/>
    <w:rsid w:val="009823DE"/>
    <w:rsid w:val="00985F38"/>
    <w:rsid w:val="00986AE5"/>
    <w:rsid w:val="00990D33"/>
    <w:rsid w:val="00990E9C"/>
    <w:rsid w:val="00994542"/>
    <w:rsid w:val="00994908"/>
    <w:rsid w:val="009A2362"/>
    <w:rsid w:val="009A465A"/>
    <w:rsid w:val="009B160B"/>
    <w:rsid w:val="009B1857"/>
    <w:rsid w:val="009B33C7"/>
    <w:rsid w:val="009B4AA6"/>
    <w:rsid w:val="009B691F"/>
    <w:rsid w:val="009C0CE4"/>
    <w:rsid w:val="009C1D75"/>
    <w:rsid w:val="009C237B"/>
    <w:rsid w:val="009C334D"/>
    <w:rsid w:val="009C49FE"/>
    <w:rsid w:val="009C4DD1"/>
    <w:rsid w:val="009D0681"/>
    <w:rsid w:val="009D287C"/>
    <w:rsid w:val="009D2950"/>
    <w:rsid w:val="009D295B"/>
    <w:rsid w:val="009D3320"/>
    <w:rsid w:val="009D341F"/>
    <w:rsid w:val="009D43D7"/>
    <w:rsid w:val="009D4B3D"/>
    <w:rsid w:val="009D4FAA"/>
    <w:rsid w:val="009D7D88"/>
    <w:rsid w:val="009E3950"/>
    <w:rsid w:val="009E5811"/>
    <w:rsid w:val="009E5A93"/>
    <w:rsid w:val="009E5B53"/>
    <w:rsid w:val="009E6F17"/>
    <w:rsid w:val="009F13BE"/>
    <w:rsid w:val="009F3154"/>
    <w:rsid w:val="009F75CA"/>
    <w:rsid w:val="00A1211C"/>
    <w:rsid w:val="00A1278E"/>
    <w:rsid w:val="00A14901"/>
    <w:rsid w:val="00A20113"/>
    <w:rsid w:val="00A20D78"/>
    <w:rsid w:val="00A2215F"/>
    <w:rsid w:val="00A22839"/>
    <w:rsid w:val="00A23E19"/>
    <w:rsid w:val="00A32996"/>
    <w:rsid w:val="00A33185"/>
    <w:rsid w:val="00A35A6C"/>
    <w:rsid w:val="00A35F71"/>
    <w:rsid w:val="00A44D85"/>
    <w:rsid w:val="00A51692"/>
    <w:rsid w:val="00A53B04"/>
    <w:rsid w:val="00A661F4"/>
    <w:rsid w:val="00A66326"/>
    <w:rsid w:val="00A70D49"/>
    <w:rsid w:val="00A7271A"/>
    <w:rsid w:val="00A74D79"/>
    <w:rsid w:val="00A81E19"/>
    <w:rsid w:val="00A90E5B"/>
    <w:rsid w:val="00A91BD7"/>
    <w:rsid w:val="00A91D74"/>
    <w:rsid w:val="00A92727"/>
    <w:rsid w:val="00A929B7"/>
    <w:rsid w:val="00A948B7"/>
    <w:rsid w:val="00A9723B"/>
    <w:rsid w:val="00A97C69"/>
    <w:rsid w:val="00AA4B67"/>
    <w:rsid w:val="00AB2229"/>
    <w:rsid w:val="00AB61B8"/>
    <w:rsid w:val="00AB6579"/>
    <w:rsid w:val="00AB70A1"/>
    <w:rsid w:val="00AB795F"/>
    <w:rsid w:val="00AC6312"/>
    <w:rsid w:val="00AD0975"/>
    <w:rsid w:val="00AD1E77"/>
    <w:rsid w:val="00AD6084"/>
    <w:rsid w:val="00AD6D80"/>
    <w:rsid w:val="00AE27BA"/>
    <w:rsid w:val="00AE5A3E"/>
    <w:rsid w:val="00AF24B0"/>
    <w:rsid w:val="00AF2C19"/>
    <w:rsid w:val="00AF31F7"/>
    <w:rsid w:val="00AF5898"/>
    <w:rsid w:val="00B008A4"/>
    <w:rsid w:val="00B02773"/>
    <w:rsid w:val="00B02B12"/>
    <w:rsid w:val="00B1160D"/>
    <w:rsid w:val="00B12184"/>
    <w:rsid w:val="00B12591"/>
    <w:rsid w:val="00B1396A"/>
    <w:rsid w:val="00B139FB"/>
    <w:rsid w:val="00B22F8F"/>
    <w:rsid w:val="00B2516E"/>
    <w:rsid w:val="00B25C82"/>
    <w:rsid w:val="00B26986"/>
    <w:rsid w:val="00B43407"/>
    <w:rsid w:val="00B444E6"/>
    <w:rsid w:val="00B52011"/>
    <w:rsid w:val="00B53EFF"/>
    <w:rsid w:val="00B54AFA"/>
    <w:rsid w:val="00B55D26"/>
    <w:rsid w:val="00B6488E"/>
    <w:rsid w:val="00B671A4"/>
    <w:rsid w:val="00B67E23"/>
    <w:rsid w:val="00B804E8"/>
    <w:rsid w:val="00B874E3"/>
    <w:rsid w:val="00BA560C"/>
    <w:rsid w:val="00BB0417"/>
    <w:rsid w:val="00BB045E"/>
    <w:rsid w:val="00BB24B3"/>
    <w:rsid w:val="00BB627A"/>
    <w:rsid w:val="00BB7015"/>
    <w:rsid w:val="00BC206C"/>
    <w:rsid w:val="00BC431A"/>
    <w:rsid w:val="00BD1396"/>
    <w:rsid w:val="00BD4523"/>
    <w:rsid w:val="00BE047F"/>
    <w:rsid w:val="00BE21CD"/>
    <w:rsid w:val="00BE2B0E"/>
    <w:rsid w:val="00BE3717"/>
    <w:rsid w:val="00BE65CC"/>
    <w:rsid w:val="00BF5AFA"/>
    <w:rsid w:val="00C006B2"/>
    <w:rsid w:val="00C01332"/>
    <w:rsid w:val="00C01A35"/>
    <w:rsid w:val="00C03772"/>
    <w:rsid w:val="00C04EDA"/>
    <w:rsid w:val="00C075C6"/>
    <w:rsid w:val="00C119A2"/>
    <w:rsid w:val="00C32794"/>
    <w:rsid w:val="00C33C8C"/>
    <w:rsid w:val="00C34B00"/>
    <w:rsid w:val="00C41155"/>
    <w:rsid w:val="00C41A62"/>
    <w:rsid w:val="00C501D4"/>
    <w:rsid w:val="00C51E8B"/>
    <w:rsid w:val="00C52D8A"/>
    <w:rsid w:val="00C53F1A"/>
    <w:rsid w:val="00C57267"/>
    <w:rsid w:val="00C616FF"/>
    <w:rsid w:val="00C62B63"/>
    <w:rsid w:val="00C63F88"/>
    <w:rsid w:val="00C70EC6"/>
    <w:rsid w:val="00C71527"/>
    <w:rsid w:val="00C7184B"/>
    <w:rsid w:val="00C721E7"/>
    <w:rsid w:val="00C72A34"/>
    <w:rsid w:val="00C72B5B"/>
    <w:rsid w:val="00C869F3"/>
    <w:rsid w:val="00C87EB4"/>
    <w:rsid w:val="00C91FE2"/>
    <w:rsid w:val="00C921E4"/>
    <w:rsid w:val="00CA7A28"/>
    <w:rsid w:val="00CB4218"/>
    <w:rsid w:val="00CB4DBB"/>
    <w:rsid w:val="00CC08F6"/>
    <w:rsid w:val="00CC18AC"/>
    <w:rsid w:val="00CC6A13"/>
    <w:rsid w:val="00CD00AD"/>
    <w:rsid w:val="00CD21D8"/>
    <w:rsid w:val="00CD4589"/>
    <w:rsid w:val="00CD7D5D"/>
    <w:rsid w:val="00CD7F4A"/>
    <w:rsid w:val="00CE574B"/>
    <w:rsid w:val="00CF0621"/>
    <w:rsid w:val="00CF0FC4"/>
    <w:rsid w:val="00CF3FA4"/>
    <w:rsid w:val="00CF6932"/>
    <w:rsid w:val="00D01FE3"/>
    <w:rsid w:val="00D02CB7"/>
    <w:rsid w:val="00D0381E"/>
    <w:rsid w:val="00D06CA3"/>
    <w:rsid w:val="00D07BEB"/>
    <w:rsid w:val="00D07F46"/>
    <w:rsid w:val="00D16DCD"/>
    <w:rsid w:val="00D170E5"/>
    <w:rsid w:val="00D2374B"/>
    <w:rsid w:val="00D27A57"/>
    <w:rsid w:val="00D304E0"/>
    <w:rsid w:val="00D35D32"/>
    <w:rsid w:val="00D37F2F"/>
    <w:rsid w:val="00D415B9"/>
    <w:rsid w:val="00D50C4A"/>
    <w:rsid w:val="00D528E8"/>
    <w:rsid w:val="00D546B7"/>
    <w:rsid w:val="00D57835"/>
    <w:rsid w:val="00D621D7"/>
    <w:rsid w:val="00D64000"/>
    <w:rsid w:val="00D70951"/>
    <w:rsid w:val="00D771D0"/>
    <w:rsid w:val="00D77C37"/>
    <w:rsid w:val="00D835CF"/>
    <w:rsid w:val="00D870E7"/>
    <w:rsid w:val="00D8750C"/>
    <w:rsid w:val="00D875D1"/>
    <w:rsid w:val="00D9305C"/>
    <w:rsid w:val="00D94C34"/>
    <w:rsid w:val="00D951CF"/>
    <w:rsid w:val="00DA176F"/>
    <w:rsid w:val="00DA26FB"/>
    <w:rsid w:val="00DA36BE"/>
    <w:rsid w:val="00DA7141"/>
    <w:rsid w:val="00DA7BCD"/>
    <w:rsid w:val="00DB6422"/>
    <w:rsid w:val="00DB6C3D"/>
    <w:rsid w:val="00DB7601"/>
    <w:rsid w:val="00DB7980"/>
    <w:rsid w:val="00DC0231"/>
    <w:rsid w:val="00DC0786"/>
    <w:rsid w:val="00DC5788"/>
    <w:rsid w:val="00DC5ACF"/>
    <w:rsid w:val="00DC698B"/>
    <w:rsid w:val="00DD3573"/>
    <w:rsid w:val="00DD4F17"/>
    <w:rsid w:val="00DD7468"/>
    <w:rsid w:val="00DE02E2"/>
    <w:rsid w:val="00DE25E9"/>
    <w:rsid w:val="00DE28FE"/>
    <w:rsid w:val="00DE3C6D"/>
    <w:rsid w:val="00DE4BD6"/>
    <w:rsid w:val="00DE71D3"/>
    <w:rsid w:val="00DE72CF"/>
    <w:rsid w:val="00DF08A0"/>
    <w:rsid w:val="00DF0C28"/>
    <w:rsid w:val="00DF12F4"/>
    <w:rsid w:val="00DF233E"/>
    <w:rsid w:val="00DF5722"/>
    <w:rsid w:val="00DF7C2E"/>
    <w:rsid w:val="00DF7E63"/>
    <w:rsid w:val="00E00EAA"/>
    <w:rsid w:val="00E02C40"/>
    <w:rsid w:val="00E13845"/>
    <w:rsid w:val="00E13BEF"/>
    <w:rsid w:val="00E160FF"/>
    <w:rsid w:val="00E24E92"/>
    <w:rsid w:val="00E26765"/>
    <w:rsid w:val="00E31FE3"/>
    <w:rsid w:val="00E34C86"/>
    <w:rsid w:val="00E35CD1"/>
    <w:rsid w:val="00E363DC"/>
    <w:rsid w:val="00E37526"/>
    <w:rsid w:val="00E408D5"/>
    <w:rsid w:val="00E4126D"/>
    <w:rsid w:val="00E43165"/>
    <w:rsid w:val="00E463A3"/>
    <w:rsid w:val="00E472CA"/>
    <w:rsid w:val="00E47B2B"/>
    <w:rsid w:val="00E52CA2"/>
    <w:rsid w:val="00E62671"/>
    <w:rsid w:val="00E63D7F"/>
    <w:rsid w:val="00E70760"/>
    <w:rsid w:val="00E7382B"/>
    <w:rsid w:val="00E73C15"/>
    <w:rsid w:val="00E81F0A"/>
    <w:rsid w:val="00E9253C"/>
    <w:rsid w:val="00E930BA"/>
    <w:rsid w:val="00E94C30"/>
    <w:rsid w:val="00E9533A"/>
    <w:rsid w:val="00E95F39"/>
    <w:rsid w:val="00E97DB2"/>
    <w:rsid w:val="00EA0B57"/>
    <w:rsid w:val="00EA2565"/>
    <w:rsid w:val="00EB1DFB"/>
    <w:rsid w:val="00EB3BE3"/>
    <w:rsid w:val="00EB3CF0"/>
    <w:rsid w:val="00EB45B5"/>
    <w:rsid w:val="00EB5E57"/>
    <w:rsid w:val="00EB61DB"/>
    <w:rsid w:val="00EB6CFF"/>
    <w:rsid w:val="00EB76C7"/>
    <w:rsid w:val="00EC0F0E"/>
    <w:rsid w:val="00EC384B"/>
    <w:rsid w:val="00ED1AD0"/>
    <w:rsid w:val="00ED2C0D"/>
    <w:rsid w:val="00ED4AFD"/>
    <w:rsid w:val="00ED5BDD"/>
    <w:rsid w:val="00ED6776"/>
    <w:rsid w:val="00EE37B0"/>
    <w:rsid w:val="00EE4FBE"/>
    <w:rsid w:val="00EE661A"/>
    <w:rsid w:val="00EE7805"/>
    <w:rsid w:val="00EF5117"/>
    <w:rsid w:val="00EF608D"/>
    <w:rsid w:val="00EF7287"/>
    <w:rsid w:val="00F038A1"/>
    <w:rsid w:val="00F06E4E"/>
    <w:rsid w:val="00F13DD2"/>
    <w:rsid w:val="00F17587"/>
    <w:rsid w:val="00F238E0"/>
    <w:rsid w:val="00F25429"/>
    <w:rsid w:val="00F30FF6"/>
    <w:rsid w:val="00F42E1E"/>
    <w:rsid w:val="00F43635"/>
    <w:rsid w:val="00F51E01"/>
    <w:rsid w:val="00F52384"/>
    <w:rsid w:val="00F5649A"/>
    <w:rsid w:val="00F6659D"/>
    <w:rsid w:val="00F67DC5"/>
    <w:rsid w:val="00F75E5C"/>
    <w:rsid w:val="00F82342"/>
    <w:rsid w:val="00F877DB"/>
    <w:rsid w:val="00F91AE4"/>
    <w:rsid w:val="00F91B49"/>
    <w:rsid w:val="00F93C8B"/>
    <w:rsid w:val="00F959DD"/>
    <w:rsid w:val="00F960D5"/>
    <w:rsid w:val="00FA5A03"/>
    <w:rsid w:val="00FA7AE8"/>
    <w:rsid w:val="00FB0C68"/>
    <w:rsid w:val="00FB1231"/>
    <w:rsid w:val="00FB52C6"/>
    <w:rsid w:val="00FC1C5C"/>
    <w:rsid w:val="00FC69C3"/>
    <w:rsid w:val="00FD33E9"/>
    <w:rsid w:val="00FE110B"/>
    <w:rsid w:val="00FE17E2"/>
    <w:rsid w:val="00FE3157"/>
    <w:rsid w:val="00FE4E53"/>
    <w:rsid w:val="00FE69D2"/>
    <w:rsid w:val="00FF4B5E"/>
    <w:rsid w:val="00FF6E4B"/>
    <w:rsid w:val="00FF7470"/>
    <w:rsid w:val="17F41994"/>
    <w:rsid w:val="224DF7B4"/>
    <w:rsid w:val="23B6646C"/>
    <w:rsid w:val="2697ADCA"/>
    <w:rsid w:val="2896C77B"/>
    <w:rsid w:val="2A3297DC"/>
    <w:rsid w:val="2D363C95"/>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 w:type="paragraph" w:styleId="Revision">
    <w:name w:val="Revision"/>
    <w:hidden/>
    <w:uiPriority w:val="99"/>
    <w:semiHidden/>
    <w:rsid w:val="009E6F17"/>
    <w:rPr>
      <w:rFonts w:ascii="Arial" w:hAnsi="Arial"/>
      <w:sz w:val="24"/>
      <w:lang w:eastAsia="en-US"/>
    </w:rPr>
  </w:style>
  <w:style w:type="paragraph" w:customStyle="1" w:styleId="CharCharCharChar0">
    <w:name w:val="Char Char Char Char"/>
    <w:basedOn w:val="Normal"/>
    <w:locked/>
    <w:rsid w:val="0088165F"/>
    <w:pPr>
      <w:spacing w:after="160" w:line="240" w:lineRule="exact"/>
    </w:pPr>
    <w:rPr>
      <w:rFonts w:ascii="Verdana" w:hAnsi="Verdana"/>
      <w:sz w:val="20"/>
      <w:lang w:val="en-US"/>
    </w:rPr>
  </w:style>
  <w:style w:type="character" w:styleId="CommentReference">
    <w:name w:val="annotation reference"/>
    <w:basedOn w:val="DefaultParagraphFont"/>
    <w:semiHidden/>
    <w:unhideWhenUsed/>
    <w:rsid w:val="00627521"/>
    <w:rPr>
      <w:sz w:val="16"/>
      <w:szCs w:val="16"/>
    </w:rPr>
  </w:style>
  <w:style w:type="paragraph" w:styleId="CommentText">
    <w:name w:val="annotation text"/>
    <w:basedOn w:val="Normal"/>
    <w:link w:val="CommentTextChar"/>
    <w:unhideWhenUsed/>
    <w:rsid w:val="00627521"/>
    <w:rPr>
      <w:sz w:val="20"/>
    </w:rPr>
  </w:style>
  <w:style w:type="character" w:customStyle="1" w:styleId="CommentTextChar">
    <w:name w:val="Comment Text Char"/>
    <w:basedOn w:val="DefaultParagraphFont"/>
    <w:link w:val="CommentText"/>
    <w:rsid w:val="00627521"/>
    <w:rPr>
      <w:rFonts w:ascii="Arial" w:hAnsi="Arial"/>
      <w:lang w:eastAsia="en-US"/>
    </w:rPr>
  </w:style>
  <w:style w:type="paragraph" w:styleId="CommentSubject">
    <w:name w:val="annotation subject"/>
    <w:basedOn w:val="CommentText"/>
    <w:next w:val="CommentText"/>
    <w:link w:val="CommentSubjectChar"/>
    <w:semiHidden/>
    <w:unhideWhenUsed/>
    <w:rsid w:val="00627521"/>
    <w:rPr>
      <w:b/>
      <w:bCs/>
    </w:rPr>
  </w:style>
  <w:style w:type="character" w:customStyle="1" w:styleId="CommentSubjectChar">
    <w:name w:val="Comment Subject Char"/>
    <w:basedOn w:val="CommentTextChar"/>
    <w:link w:val="CommentSubject"/>
    <w:semiHidden/>
    <w:rsid w:val="00627521"/>
    <w:rPr>
      <w:rFonts w:ascii="Arial" w:hAnsi="Arial"/>
      <w:b/>
      <w:bCs/>
      <w:lang w:eastAsia="en-US"/>
    </w:rPr>
  </w:style>
  <w:style w:type="character" w:customStyle="1" w:styleId="FooterChar">
    <w:name w:val="Footer Char"/>
    <w:basedOn w:val="DefaultParagraphFont"/>
    <w:link w:val="Footer"/>
    <w:uiPriority w:val="99"/>
    <w:rsid w:val="00E34C86"/>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474757011">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6458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m.bryan@harrow.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9C20F3-7DD3-4EF3-944E-05BD0019E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5.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4467</Words>
  <Characters>24404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Andrew Seaman5</cp:lastModifiedBy>
  <cp:revision>7</cp:revision>
  <cp:lastPrinted>2014-10-31T16:34:00Z</cp:lastPrinted>
  <dcterms:created xsi:type="dcterms:W3CDTF">2024-02-28T18:02:00Z</dcterms:created>
  <dcterms:modified xsi:type="dcterms:W3CDTF">2024-03-01T14:32:00Z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